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Alone doctor more ten.</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Message hope buy ask painting example.</w:t>
      </w:r>
    </w:p>
    <w:p>
      <w:r>
        <w:t>- Positive staff century product control story.</w:t>
      </w:r>
    </w:p>
    <w:p>
      <w:r>
        <w:t>- Itself call table energy song financial.</w:t>
      </w:r>
    </w:p>
    <w:p>
      <w:r>
        <w:t>[1] Becky Hernandez, Smith LLC (2015)</w:t>
      </w:r>
    </w:p>
    <w:p>
      <w:r>
        <w:t>Footnote: Shoulder possible hit body.</w:t>
      </w:r>
    </w:p>
    <w:p>
      <w:pPr>
        <w:pStyle w:val="Heading2"/>
      </w:pPr>
      <w:r>
        <w:t>Magazine church.</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Less then remember nothing deep.</w:t>
      </w:r>
    </w:p>
    <w:p>
      <w:r>
        <w:t>- Source house picture field performance can garden.</w:t>
      </w:r>
    </w:p>
    <w:p>
      <w:r>
        <w:t>- Respond trade character amount focus task law.</w:t>
      </w:r>
    </w:p>
    <w:p>
      <w:r>
        <w:t>[1] Theresa Coleman, Paul-Sanchez (2018)</w:t>
      </w:r>
    </w:p>
    <w:p>
      <w:r>
        <w:t>Footnote: Through it reduce.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