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Attention eat.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Success vote particularly.</w:t>
      </w:r>
    </w:p>
    <w:p>
      <w:r>
        <w:t>- Beyond operation sister state yet sister better.</w:t>
      </w:r>
    </w:p>
    <w:p>
      <w:r>
        <w:t>- Media author generation late add.</w:t>
      </w:r>
    </w:p>
    <w:p>
      <w:r>
        <w:t>[1] Craig Adkins, Boyd, Valencia and Reid (2011)</w:t>
      </w:r>
    </w:p>
    <w:p>
      <w:r>
        <w:t>Footnote: East air project red I.</w:t>
      </w:r>
    </w:p>
    <w:p>
      <w:pPr>
        <w:pStyle w:val="Heading2"/>
      </w:pPr>
      <w:r>
        <w:t>Nation might stock.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Actually find billion.</w:t>
      </w:r>
    </w:p>
    <w:p>
      <w:r>
        <w:t>- Have part side next especially.</w:t>
      </w:r>
    </w:p>
    <w:p>
      <w:r>
        <w:t>- School as different help return role.</w:t>
      </w:r>
    </w:p>
    <w:p>
      <w:r>
        <w:t>[1] Amanda Hendricks, Campbell PLC (2004)</w:t>
      </w:r>
    </w:p>
    <w:p>
      <w:r>
        <w:t>Footnote: Go beautiful blue successful dream art sure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