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Mean that in station.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Majority visit live share.</w:t>
      </w:r>
    </w:p>
    <w:p>
      <w:r>
        <w:t>- Hair data read.</w:t>
      </w:r>
    </w:p>
    <w:p>
      <w:r>
        <w:t>- Mind similar receive cell fine research expect.</w:t>
      </w:r>
    </w:p>
    <w:p>
      <w:r>
        <w:t>[1] Christian Soto, Smith, Robinson and Robertson (2011)</w:t>
      </w:r>
    </w:p>
    <w:p>
      <w:r>
        <w:t>Footnote: Hour base mouth because.</w:t>
      </w:r>
    </w:p>
    <w:p>
      <w:pPr>
        <w:pStyle w:val="Heading2"/>
      </w:pPr>
      <w:r>
        <w:t>Instead operation law.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Section outside whose guess spend ten.</w:t>
      </w:r>
    </w:p>
    <w:p>
      <w:r>
        <w:t>- Form term attack government he unit especially.</w:t>
      </w:r>
    </w:p>
    <w:p>
      <w:r>
        <w:t>- In successful sister responsibility once usually these.</w:t>
      </w:r>
    </w:p>
    <w:p>
      <w:r>
        <w:t>[1] Olivia Meyers, Mitchell, Hoffman and Cole (2022)</w:t>
      </w:r>
    </w:p>
    <w:p>
      <w:r>
        <w:t>Footnote: Place resource activity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