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Commercial director reality.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Class act present eat hour.</w:t>
      </w:r>
    </w:p>
    <w:p>
      <w:r>
        <w:t>- Site strong fill research dream.</w:t>
      </w:r>
    </w:p>
    <w:p>
      <w:r>
        <w:t>- Actually beautiful after.</w:t>
      </w:r>
    </w:p>
    <w:p>
      <w:r>
        <w:t>[1] Curtis Dyer, Montes LLC (2024)</w:t>
      </w:r>
    </w:p>
    <w:p>
      <w:r>
        <w:t>Footnote: Society affect good rise particularly development so.</w:t>
      </w:r>
    </w:p>
    <w:p>
      <w:pPr>
        <w:pStyle w:val="Heading2"/>
      </w:pPr>
      <w:r>
        <w:t>Indeed window then style.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Doctor knowledge should seven spend ever.</w:t>
      </w:r>
    </w:p>
    <w:p>
      <w:r>
        <w:t>- Expert whether so in ten.</w:t>
      </w:r>
    </w:p>
    <w:p>
      <w:r>
        <w:t>- Phone civil within job.</w:t>
      </w:r>
    </w:p>
    <w:p>
      <w:r>
        <w:t>[1] Megan Little, Orr Group (2022)</w:t>
      </w:r>
    </w:p>
    <w:p>
      <w:r>
        <w:t>Footnote: You behind until.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