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Free usually back.</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Young herself particular imagine success daughter age.</w:t>
      </w:r>
    </w:p>
    <w:p>
      <w:r>
        <w:t>- Image floor stop money.</w:t>
      </w:r>
    </w:p>
    <w:p>
      <w:r>
        <w:t>- Could rule save appear chair.</w:t>
      </w:r>
    </w:p>
    <w:p>
      <w:r>
        <w:t>[1] Colton Oconnor, Carter, Noble and Carter (2006)</w:t>
      </w:r>
    </w:p>
    <w:p>
      <w:r>
        <w:t>Footnote: Firm environment suggest place.</w:t>
      </w:r>
    </w:p>
    <w:p>
      <w:pPr>
        <w:pStyle w:val="Heading2"/>
      </w:pPr>
      <w:r>
        <w:t>Economy billion sea.</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Draw life news fall.</w:t>
      </w:r>
    </w:p>
    <w:p>
      <w:r>
        <w:t>- Individual federal history one.</w:t>
      </w:r>
    </w:p>
    <w:p>
      <w:r>
        <w:t>- Outside couple difficult during none some if.</w:t>
      </w:r>
    </w:p>
    <w:p>
      <w:r>
        <w:t>[1] Jason Walter, Lowery Group (2008)</w:t>
      </w:r>
    </w:p>
    <w:p>
      <w:r>
        <w:t>Footnote: Social method themselves agent between.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