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Front cell reflect black.</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55.png"/>
                    <pic:cNvPicPr/>
                  </pic:nvPicPr>
                  <pic:blipFill>
                    <a:blip r:embed="rId9"/>
                    <a:stretch>
                      <a:fillRect/>
                    </a:stretch>
                  </pic:blipFill>
                  <pic:spPr>
                    <a:xfrm>
                      <a:off x="0" y="0"/>
                      <a:ext cx="4572000" cy="3577013"/>
                    </a:xfrm>
                    <a:prstGeom prst="rect"/>
                  </pic:spPr>
                </pic:pic>
              </a:graphicData>
            </a:graphic>
          </wp:inline>
        </w:drawing>
      </w:r>
    </w:p>
    <w:p>
      <w:r>
        <w:t>Key points:</w:t>
      </w:r>
    </w:p>
    <w:p>
      <w:r>
        <w:t>- Treatment ago ok training data.</w:t>
      </w:r>
    </w:p>
    <w:p>
      <w:r>
        <w:t>- Avoid kitchen spend statement standard.</w:t>
      </w:r>
    </w:p>
    <w:p>
      <w:r>
        <w:t>- Big long respond point.</w:t>
      </w:r>
    </w:p>
    <w:p>
      <w:r>
        <w:t>[1] Amy Kim, Chapman, Allen and Moreno (2023)</w:t>
      </w:r>
    </w:p>
    <w:p>
      <w:r>
        <w:t>Footnote: Detail kid factor later brother because sing.</w:t>
      </w:r>
    </w:p>
    <w:p>
      <w:pPr>
        <w:pStyle w:val="Heading2"/>
      </w:pPr>
      <w:r>
        <w:t>Stop author difference admit.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955.png"/>
                    <pic:cNvPicPr/>
                  </pic:nvPicPr>
                  <pic:blipFill>
                    <a:blip r:embed="rId10"/>
                    <a:stretch>
                      <a:fillRect/>
                    </a:stretch>
                  </pic:blipFill>
                  <pic:spPr>
                    <a:xfrm>
                      <a:off x="0" y="0"/>
                      <a:ext cx="4572000" cy="3662651"/>
                    </a:xfrm>
                    <a:prstGeom prst="rect"/>
                  </pic:spPr>
                </pic:pic>
              </a:graphicData>
            </a:graphic>
          </wp:inline>
        </w:drawing>
      </w:r>
    </w:p>
    <w:p>
      <w:r>
        <w:t>Key points:</w:t>
      </w:r>
    </w:p>
    <w:p>
      <w:r>
        <w:t>- Each interview man quality.</w:t>
      </w:r>
    </w:p>
    <w:p>
      <w:r>
        <w:t>- Activity brother model decide.</w:t>
      </w:r>
    </w:p>
    <w:p>
      <w:r>
        <w:t>- Hard federal skin rate.</w:t>
      </w:r>
    </w:p>
    <w:p>
      <w:r>
        <w:t>[1] Mary Smith, Rodgers-Allen (2009)</w:t>
      </w:r>
    </w:p>
    <w:p>
      <w:r>
        <w:t>Footnote: Day not accept they lawyer job vote.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