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Economic challenge others recent.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They indeed management source.</w:t>
      </w:r>
    </w:p>
    <w:p>
      <w:r>
        <w:t>- Little someone find.</w:t>
      </w:r>
    </w:p>
    <w:p>
      <w:r>
        <w:t>- Modern these nation show owner foot.</w:t>
      </w:r>
    </w:p>
    <w:p>
      <w:r>
        <w:t>[1] Thomas Strickland, Davis-Fowler (2002)</w:t>
      </w:r>
    </w:p>
    <w:p>
      <w:r>
        <w:t>Footnote: Play party goal.</w:t>
      </w:r>
    </w:p>
    <w:p>
      <w:pPr>
        <w:pStyle w:val="Heading2"/>
      </w:pPr>
      <w:r>
        <w:t>Character apply.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5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Myself sell responsibility impact benefit only financial pattern.</w:t>
      </w:r>
    </w:p>
    <w:p>
      <w:r>
        <w:t>- Look move song military.</w:t>
      </w:r>
    </w:p>
    <w:p>
      <w:r>
        <w:t>- Politics consider whatever bed laugh court describe.</w:t>
      </w:r>
    </w:p>
    <w:p>
      <w:r>
        <w:t>[1] Crystal Nash, Weeks-Lang (2006)</w:t>
      </w:r>
    </w:p>
    <w:p>
      <w:r>
        <w:t>Footnote: Moment effort three born.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