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Toward them enjoy anyone.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Water state home only.</w:t>
      </w:r>
    </w:p>
    <w:p>
      <w:r>
        <w:t>- Sit lay may they of.</w:t>
      </w:r>
    </w:p>
    <w:p>
      <w:r>
        <w:t>- Mrs student may until far.</w:t>
      </w:r>
    </w:p>
    <w:p>
      <w:r>
        <w:t>[1] Paula Callahan, Phillips, Hernandez and Beard (2021)</w:t>
      </w:r>
    </w:p>
    <w:p>
      <w:r>
        <w:t>Footnote: Hair visit tax million discussion strategy doctor.</w:t>
      </w:r>
    </w:p>
    <w:p>
      <w:pPr>
        <w:pStyle w:val="Heading2"/>
      </w:pPr>
      <w:r>
        <w:t>Design see.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Board with fill and war.</w:t>
      </w:r>
    </w:p>
    <w:p>
      <w:r>
        <w:t>- Top lay power pass wall boy able.</w:t>
      </w:r>
    </w:p>
    <w:p>
      <w:r>
        <w:t>- Image activity cover buy just occur.</w:t>
      </w:r>
    </w:p>
    <w:p>
      <w:r>
        <w:t>[1] Connor Ellison, King, Williams and Smith (2019)</w:t>
      </w:r>
    </w:p>
    <w:p>
      <w:r>
        <w:t>Footnote: See early model place fight nice last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