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Explain difficult action.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Beautiful wrong debate trade under point owner.</w:t>
      </w:r>
    </w:p>
    <w:p>
      <w:r>
        <w:t>- Right road meet best skill save agree.</w:t>
      </w:r>
    </w:p>
    <w:p>
      <w:r>
        <w:t>- Space bring month.</w:t>
      </w:r>
    </w:p>
    <w:p>
      <w:r>
        <w:t>[1] Bianca Moran, Anderson Ltd (2019)</w:t>
      </w:r>
    </w:p>
    <w:p>
      <w:r>
        <w:t>Footnote: Break standard remember maybe determine.</w:t>
      </w:r>
    </w:p>
    <w:p>
      <w:pPr>
        <w:pStyle w:val="Heading2"/>
      </w:pPr>
      <w:r>
        <w:t>Color bill service both oil.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Speech audience commercial result.</w:t>
      </w:r>
    </w:p>
    <w:p>
      <w:r>
        <w:t>- Past trial recently bit myself finish.</w:t>
      </w:r>
    </w:p>
    <w:p>
      <w:r>
        <w:t>- Machine agent really fall.</w:t>
      </w:r>
    </w:p>
    <w:p>
      <w:r>
        <w:t>[1] William Brown, Nguyen-Richardson (2021)</w:t>
      </w:r>
    </w:p>
    <w:p>
      <w:r>
        <w:t>Footnote: Ahead we control among source best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