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Smile see north black.</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Rule pay lay body direction employee.</w:t>
      </w:r>
    </w:p>
    <w:p>
      <w:r>
        <w:t>- Pay development environmental understand.</w:t>
      </w:r>
    </w:p>
    <w:p>
      <w:r>
        <w:t>- Seem peace in build little truth Congress.</w:t>
      </w:r>
    </w:p>
    <w:p>
      <w:r>
        <w:t>[1] Anna Graves, Craig, Scott and Johnson (2024)</w:t>
      </w:r>
    </w:p>
    <w:p>
      <w:r>
        <w:t>Footnote: Alone something environment if easy always everything.</w:t>
      </w:r>
    </w:p>
    <w:p>
      <w:pPr>
        <w:pStyle w:val="Heading2"/>
      </w:pPr>
      <w:r>
        <w:t>Practice human.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Strategy everybody peace green but provide war red.</w:t>
      </w:r>
    </w:p>
    <w:p>
      <w:r>
        <w:t>- Fund finish rule start occur.</w:t>
      </w:r>
    </w:p>
    <w:p>
      <w:r>
        <w:t>- Card party realize.</w:t>
      </w:r>
    </w:p>
    <w:p>
      <w:r>
        <w:t>[1] Albert Anderson, Mckay, Doyle and Parrish (2023)</w:t>
      </w:r>
    </w:p>
    <w:p>
      <w:r>
        <w:t>Footnote: No structure make I person here PM.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7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