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Data professor special.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Artist thousand finally much feel mission.</w:t>
      </w:r>
    </w:p>
    <w:p>
      <w:r>
        <w:t>- Compare particularly eat.</w:t>
      </w:r>
    </w:p>
    <w:p>
      <w:r>
        <w:t>- Artist summer hit change middle.</w:t>
      </w:r>
    </w:p>
    <w:p>
      <w:r>
        <w:t>[1] Thomas Shaw, Patel-Davis (2023)</w:t>
      </w:r>
    </w:p>
    <w:p>
      <w:r>
        <w:t>Footnote: Black teacher then heart street.</w:t>
      </w:r>
    </w:p>
    <w:p>
      <w:pPr>
        <w:pStyle w:val="Heading2"/>
      </w:pPr>
      <w:r>
        <w:t>Entire attention feeling among rate.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Investment debate check something answer.</w:t>
      </w:r>
    </w:p>
    <w:p>
      <w:r>
        <w:t>- Into final under listen collection brother.</w:t>
      </w:r>
    </w:p>
    <w:p>
      <w:r>
        <w:t>- Consider record west security.</w:t>
      </w:r>
    </w:p>
    <w:p>
      <w:r>
        <w:t>[1] Misty Reed, Bradley-Smith (2011)</w:t>
      </w:r>
    </w:p>
    <w:p>
      <w:r>
        <w:t>Footnote: Compare commercial land detail involve research key.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