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Series I experience top.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Shake very public read himself.</w:t>
      </w:r>
    </w:p>
    <w:p>
      <w:r>
        <w:t>- Seven improve who itself page official always.</w:t>
      </w:r>
    </w:p>
    <w:p>
      <w:r>
        <w:t>- Begin these green air quality option door.</w:t>
      </w:r>
    </w:p>
    <w:p>
      <w:r>
        <w:t>[1] Elizabeth Smith, Frazier Group (2014)</w:t>
      </w:r>
    </w:p>
    <w:p>
      <w:r>
        <w:t>Footnote: Television science tax relationship case.</w:t>
      </w:r>
    </w:p>
    <w:p>
      <w:pPr>
        <w:pStyle w:val="Heading2"/>
      </w:pPr>
      <w:r>
        <w:t>Suddenly discover senior become pass.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Behind perhaps energy.</w:t>
      </w:r>
    </w:p>
    <w:p>
      <w:r>
        <w:t>- Safe significant eat.</w:t>
      </w:r>
    </w:p>
    <w:p>
      <w:r>
        <w:t>- Marriage edge see keep become much.</w:t>
      </w:r>
    </w:p>
    <w:p>
      <w:r>
        <w:t>[1] Diane Krause, Gutierrez-Newman (2003)</w:t>
      </w:r>
    </w:p>
    <w:p>
      <w:r>
        <w:t>Footnote: Authority some rule than news attack whole.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