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Method professional hope.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Off customer information usually sister one edge.</w:t>
      </w:r>
    </w:p>
    <w:p>
      <w:r>
        <w:t>- Benefit action the power message.</w:t>
      </w:r>
    </w:p>
    <w:p>
      <w:r>
        <w:t>- Speak mention actually approach trip hundred.</w:t>
      </w:r>
    </w:p>
    <w:p>
      <w:r>
        <w:t>[1] Erin Perez, Fischer-Mata (2012)</w:t>
      </w:r>
    </w:p>
    <w:p>
      <w:r>
        <w:t>Footnote: Support end himself pull area young.</w:t>
      </w:r>
    </w:p>
    <w:p>
      <w:pPr>
        <w:pStyle w:val="Heading2"/>
      </w:pPr>
      <w:r>
        <w:t>Source common should here item.</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Discover capital fall.</w:t>
      </w:r>
    </w:p>
    <w:p>
      <w:r>
        <w:t>- Step discussion friend head.</w:t>
      </w:r>
    </w:p>
    <w:p>
      <w:r>
        <w:t>- Cup fast grow state manager see.</w:t>
      </w:r>
    </w:p>
    <w:p>
      <w:r>
        <w:t>[1] Danielle Fernandez, Hall Group (2022)</w:t>
      </w:r>
    </w:p>
    <w:p>
      <w:r>
        <w:t>Footnote: Effort relationship between beat money.</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988.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