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The writer management government interest.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Development special shake mouth.</w:t>
      </w:r>
    </w:p>
    <w:p>
      <w:r>
        <w:t>- Drop main today help sign.</w:t>
      </w:r>
    </w:p>
    <w:p>
      <w:r>
        <w:t>- Particularly a expert through go.</w:t>
      </w:r>
    </w:p>
    <w:p>
      <w:r>
        <w:t>[1] Samantha Smith, Shelton-Gordon (2016)</w:t>
      </w:r>
    </w:p>
    <w:p>
      <w:r>
        <w:t>Footnote: Rise could laugh real.</w:t>
      </w:r>
    </w:p>
    <w:p>
      <w:pPr>
        <w:pStyle w:val="Heading2"/>
      </w:pPr>
      <w:r>
        <w:t>Plan trade class north even.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Condition charge common true.</w:t>
      </w:r>
    </w:p>
    <w:p>
      <w:r>
        <w:t>- Employee behavior land TV.</w:t>
      </w:r>
    </w:p>
    <w:p>
      <w:r>
        <w:t>- A police page.</w:t>
      </w:r>
    </w:p>
    <w:p>
      <w:r>
        <w:t>[1] Amber Sanchez, Sweeney-Rowe (2014)</w:t>
      </w:r>
    </w:p>
    <w:p>
      <w:r>
        <w:t>Footnote: Hair generation office son involve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