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Dictionary.com</w:t>
      </w:r>
    </w:p>
    <w:p>
      <w:r>
        <w:t>Conflicts of interest (COIs) often arise in academic publishing. Such conflicts may cause wrongdoing and make it more likely. Ethical standards in academic publishing exist to avoid and deal with conflicts of interest, and the field continues to develop new standards. Standards vary between journals and are unevenly applied. According to the International Committee of Medical Journal Editors, "[a]uthors have a responsibility to evaluate the integrity, history, practices and reputation of the journals to which they submit manuscripts".</w:t>
      </w:r>
    </w:p>
    <w:p>
      <w:r>
        <w:t>Conflicts of interest increase the likelihood of biases arising; they can harm the quality of research and the public good (even if disclosed). Conflicts of interest can involve research sponsors, authors, journals, journal staff, publishers, and peer reviewers.</w:t>
      </w:r>
    </w:p>
    <w:p>
      <w:r>
        <w:t>The avoidance of conflicts of interest and the changing of the structure of institutions to make them easier to avoid are frequently advocated for. Some institutional ethics policies ban academics from entering into specific types of COIs, for instance by prohibiting them from accepting gifts from companies connected with their work. Education in ethical COI management is also a tool for avoiding COI problems.</w:t>
      </w:r>
    </w:p>
    <w:p>
      <w:r>
        <w:t>Disclosure of COIs has been debated since the 1980s; there is a general consensus favouring disclosure. There is also a view that COI concerns and some of the measures taken to reduce them are excessive.</w:t>
      </w:r>
    </w:p>
    <w:p>
      <w:r>
        <w:t>Criticisms of disclosure policies include:</w:t>
      </w:r>
    </w:p>
    <w:p>
      <w:r>
        <w:t>authors disclosing COIs may feel pressured to present their research in a more biased manner to compensate;</w:t>
      </w:r>
    </w:p>
    <w:p>
      <w:r>
        <w:t>disclosure may discourage beneficial academic–industrial collaboration;</w:t>
      </w:r>
    </w:p>
    <w:p>
      <w:r>
        <w:t>disclosure may decrease public trust in research;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