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LGBTQ literature</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Future Directions</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Case Studies</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Theoretical Framework</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