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Natural philosophy</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Results</w:t>
      </w:r>
    </w:p>
    <w:p>
      <w:r>
        <w:t xml:space="preserve">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w:t>
      </w:r>
    </w:p>
    <w:p>
      <w:pPr>
        <w:pStyle w:val="Heading1"/>
      </w:pPr>
      <w:r>
        <w:t>Conclusion</w:t>
      </w:r>
    </w:p>
    <w:p>
      <w:r>
        <w:t xml:space="preserve">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w:t>
      </w:r>
    </w:p>
    <w:p>
      <w:pPr>
        <w:pStyle w:val="Heading1"/>
      </w:pPr>
      <w:r>
        <w:t>Discussion</w:t>
      </w:r>
    </w:p>
    <w:p>
      <w:r>
        <w:t xml:space="preserve">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