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Pluralism (political philosophy)</w:t>
      </w:r>
    </w:p>
    <w:p>
      <w:r>
        <w:t>Introduction</w:t>
      </w:r>
    </w:p>
    <w:p>
      <w:r>
        <w:t xml:space="preserve">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w:t>
      </w:r>
    </w:p>
    <w:p>
      <w:pPr>
        <w:pStyle w:val="Heading1"/>
      </w:pPr>
      <w:r>
        <w:t>Methodology</w:t>
      </w:r>
    </w:p>
    <w:p>
      <w:r>
        <w:t xml:space="preserve">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w:t>
      </w:r>
    </w:p>
    <w:p>
      <w:pPr>
        <w:pStyle w:val="Heading1"/>
      </w:pPr>
      <w:r>
        <w:t>Conclusion</w:t>
      </w:r>
    </w:p>
    <w:p>
      <w:r>
        <w:t xml:space="preserve">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w:t>
      </w:r>
    </w:p>
    <w:p>
      <w:pPr>
        <w:pStyle w:val="Heading1"/>
      </w:pPr>
      <w:r>
        <w:t>Results</w:t>
      </w:r>
    </w:p>
    <w:p>
      <w:r>
        <w:t xml:space="preserve">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