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SpaceX</w:t>
      </w:r>
    </w:p>
    <w:p>
      <w:r>
        <w:t>Renewable energy commercialization involves the deployment of three generations of renewable energy technologies dating back more than 100 years. First-generation technologies, which are already mature and economically competitive, include biomass, hydroelectricity, geothermal power and heat. Second-generation technologies are market-ready and are being deployed at the present time; they include solar heating, photovoltaics, wind power, solar thermal power stations, and modern forms of bioenergy. Third-generation technologies require continued R&amp;D efforts in order to make large contributions on a global scale and include advanced biomass gasification, hot-dry-rock geothermal power, and ocean energy. In 2019, nearly 75% of new installed electricity generation capacity used renewable energy and the International Energy Agency (IEA) has predicted that by 2025, renewable capacity will meet 35% of global power generation.</w:t>
      </w:r>
    </w:p>
    <w:p>
      <w:r>
        <w:t>Public policy and political leadership helps to "level the playing field" and drive the wider acceptance of renewable energy technologies. Countries such as Germany, Denmark, and Spain have led the way in implementing innovative policies which has driven most of the growth over the past decade. As of 2014, Germany has a commitment to the "Energiewende" transition to a sustainable energy economy, and Denmark has a commitment to 100% renewable energy by 2050. There are now 144 countries with renewable energy policy targets.</w:t>
      </w:r>
    </w:p>
    <w:p>
      <w:r>
        <w:t>Renewable energy continued its rapid growth in 2015, providing multiple benefits. There was a new record set for installed wind and photovoltaic capacity (64GW and 57GW) and a new high of US$329 Billion for global renewables investment. A key benefit that this investment growth brings is a growth in jobs. The top countries for investment in recent years were China, Germany, Spain, the United States, Italy, and Brazil. Renewable energy companies include BrightSource Energy, First Solar, Gamesa, GE Energy, Goldwind, Sinovel, Targray, Trina Solar, Vestas, and Yingli.</w:t>
      </w:r>
    </w:p>
    <w:p>
      <w:r>
        <w:t>Climate change concerns are also driving increasing growth in the renewable energy industries. According to a 2011 projection by the IEA, solar power generators may produce most of the world's electricity within 50 years, reducing harmful greenhouse gas emissions.</w:t>
      </w:r>
    </w:p>
    <w:p>
      <w:r>
        <w:t>Climate change, pollution, and energy insecurity are significant problems, and addressing them requires major changes to energy infrastructures. Renewable energy technologies are essential contributors to the energy supply portfolio, as they contribute to world energy security, reduce dependency on fossil fuels, and some also provide opportunities for mitigating greenhouse gases. Climate-disrupting fossil fuels are being replaced by clean, climate-stabilizing, non-depletable sources of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