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Juicy Chastity Fiction Lab</w:t>
      </w:r>
    </w:p>
    <w:p>
      <w:pPr>
        <w:spacing w:after="280"/>
      </w:pPr>
      <w:r>
        <w:t>Project brief and source architecture • Version 0.3</w:t>
      </w:r>
    </w:p>
    <w:p>
      <w:pPr>
        <w:spacing w:after="240"/>
      </w:pPr>
      <w:r>
        <w:rPr>
          <w:b/>
        </w:rPr>
        <w:t xml:space="preserve">Decision: </w:t>
      </w:r>
      <w:r>
        <w:rPr>
          <w:b w:val="0"/>
        </w:rPr>
        <w:t>Develop one adult new-adult romantic supernatural-tech thriller pilot before attempting a publishing house, denominational variants, or automated long-form production.</w:t>
      </w:r>
    </w:p>
    <w:p>
      <w:pPr>
        <w:pStyle w:val="Heading1"/>
        <w:keepNext/>
      </w:pPr>
      <w:r>
        <w:t>1. The project in one sentence</w:t>
      </w:r>
    </w:p>
    <w:p>
      <w:r>
        <w:t>An adult romantic thriller uses an elite Silicon Valley fellowship, AI-safety intrigue, social influence games, and ambiguous spiritual phenomena to dramatize a positive, shame-free Christian account of chastity: desire is not crushed but integrated into attention, agency, love, prayer, and sound judgment.</w:t>
      </w:r>
    </w:p>
    <w:p>
      <w:pPr>
        <w:pStyle w:val="Heading1"/>
        <w:keepNext/>
      </w:pPr>
      <w:r>
        <w:t>2. Scope decisions</w:t>
      </w:r>
    </w:p>
    <w:p>
      <w:pPr>
        <w:pStyle w:val="Heading2"/>
        <w:keepNext/>
      </w:pPr>
      <w:r>
        <w:t>Format and audience</w:t>
      </w:r>
    </w:p>
    <w:p>
      <w:pPr>
        <w:pStyle w:val="ListBullet"/>
      </w:pPr>
      <w:r>
        <w:t>Primary format: an adult new-adult novel or episodic serial, approximately 80,000–100,000 words if the pilot succeeds.</w:t>
      </w:r>
    </w:p>
    <w:p>
      <w:pPr>
        <w:pStyle w:val="ListBullet"/>
      </w:pPr>
      <w:r>
        <w:t>Primary readers: adults roughly 18–30 who are Christian, Christian-curious, rationalist-adjacent, spiritually adventurous, or recovering from thin purity-culture messaging.</w:t>
      </w:r>
    </w:p>
    <w:p>
      <w:pPr>
        <w:pStyle w:val="ListBullet"/>
      </w:pPr>
      <w:r>
        <w:t>The lead cohort is in its early twenties; Fulcrum is a postsecondary fellowship and residential institute.</w:t>
      </w:r>
    </w:p>
    <w:p>
      <w:pPr>
        <w:pStyle w:val="ListBullet"/>
      </w:pPr>
      <w:r>
        <w:t>The initial product is one broadly Christian story. Denominational variants are a later translation problem, not a first-draft architecture.</w:t>
      </w:r>
    </w:p>
    <w:p>
      <w:pPr>
        <w:pStyle w:val="Heading2"/>
        <w:keepNext/>
      </w:pPr>
      <w:r>
        <w:t>Creative north star</w:t>
      </w:r>
    </w:p>
    <w:p>
      <w:pPr>
        <w:pStyle w:val="ListBullet"/>
      </w:pPr>
      <w:r>
        <w:t>Hot without consummation: erotic charge arises from attention, restraint, anticipation, mutual perception, humor, and freely chosen limits.</w:t>
      </w:r>
    </w:p>
    <w:p>
      <w:pPr>
        <w:pStyle w:val="ListBullet"/>
      </w:pPr>
      <w:r>
        <w:t>Embodied attention: posture, timbre, sensation, intuition, prayer, and social prediction make desire and danger legible.</w:t>
      </w:r>
    </w:p>
    <w:p>
      <w:pPr>
        <w:pStyle w:val="ListBullet"/>
      </w:pPr>
      <w:r>
        <w:t>Incarnational Christianity: chastity integrates desire into attention, freedom, love, prayer, and delight.</w:t>
      </w:r>
    </w:p>
    <w:p>
      <w:pPr>
        <w:pStyle w:val="ListBullet"/>
      </w:pPr>
      <w:r>
        <w:t>Ripped-from-the-headlines charge: real dynamics are recombined into composites with new timelines, motives, and event structures.</w:t>
      </w:r>
    </w:p>
    <w:p>
      <w:pPr>
        <w:pStyle w:val="ListBullet"/>
      </w:pPr>
      <w:r>
        <w:t>Conflict with teeth: sexually competitive, attention-constricting, status-driven, and self-marking behavior carries embodied, romantic, social, and spiritual cost.</w:t>
      </w:r>
    </w:p>
    <w:p>
      <w:pPr>
        <w:pStyle w:val="ListBullet"/>
      </w:pPr>
      <w:r>
        <w:t>Redemption stays live: characters remain responsible, transformable, funny, erotic, and capable of repentance, restitution, and grace.</w:t>
      </w:r>
    </w:p>
    <w:p>
      <w:pPr>
        <w:pStyle w:val="Heading1"/>
        <w:keepNext/>
      </w:pPr>
      <w:r>
        <w:t>3. The reader promise</w:t>
      </w:r>
    </w:p>
    <w:p>
      <w:r>
        <w:t>By the end of the story, the reader should feel that chastity can be intense, adult, funny, embodied, and powerful—and possess a small set of portable practices for living that claim.</w:t>
      </w:r>
    </w:p>
    <w:p>
      <w:pPr>
        <w:pStyle w:val="Heading2"/>
        <w:keepNext/>
      </w:pPr>
      <w:r>
        <w:t>The six transformations</w:t>
      </w:r>
    </w:p>
    <w:p>
      <w:pPr>
        <w:pStyle w:val="ListNumber"/>
        <w:numPr>
          <w:ilvl w:val="0"/>
          <w:numId w:val="10"/>
        </w:numPr>
      </w:pPr>
      <w:r>
        <w:t>From suppression to integration: desire becomes information and motive force, not an enemy or a command.</w:t>
      </w:r>
    </w:p>
    <w:p>
      <w:pPr>
        <w:pStyle w:val="ListNumber"/>
        <w:numPr>
          <w:ilvl w:val="0"/>
          <w:numId w:val="10"/>
        </w:numPr>
      </w:pPr>
      <w:r>
        <w:t>From head-only analysis to whole-person attention: thought, bodily sensation, emotion, conscience, and prayer can inform one another.</w:t>
      </w:r>
    </w:p>
    <w:p>
      <w:pPr>
        <w:pStyle w:val="ListNumber"/>
        <w:numPr>
          <w:ilvl w:val="0"/>
          <w:numId w:val="10"/>
        </w:numPr>
      </w:pPr>
      <w:r>
        <w:t>From shame to responsibility: error can be admitted quickly because dignity and mercy do not depend on perfection.</w:t>
      </w:r>
    </w:p>
    <w:p>
      <w:pPr>
        <w:pStyle w:val="ListNumber"/>
        <w:numPr>
          <w:ilvl w:val="0"/>
          <w:numId w:val="10"/>
        </w:numPr>
      </w:pPr>
      <w:r>
        <w:t>From attraction-as-status to attraction-as-encounter: the other person is a subject to perceive and honor, not a prize, threat, or identity prop.</w:t>
      </w:r>
    </w:p>
    <w:p>
      <w:pPr>
        <w:pStyle w:val="ListNumber"/>
        <w:numPr>
          <w:ilvl w:val="0"/>
          <w:numId w:val="10"/>
        </w:numPr>
      </w:pPr>
      <w:r>
        <w:t>From covert influence to consent and boundaries: attention, language, intimacy, and spiritual authority are treated as powers that require restraint.</w:t>
      </w:r>
    </w:p>
    <w:p>
      <w:pPr>
        <w:pStyle w:val="ListNumber"/>
        <w:numPr>
          <w:ilvl w:val="0"/>
          <w:numId w:val="10"/>
        </w:numPr>
      </w:pPr>
      <w:r>
        <w:t>From credulity or dismissal to disciplined ambiguity: extraordinary experiences can be taken seriously without overclaiming what caused them.</w:t>
      </w:r>
    </w:p>
    <w:p>
      <w:pPr>
        <w:pStyle w:val="Heading1"/>
        <w:keepNext/>
      </w:pPr>
      <w:r>
        <w:t>4. Story engine</w:t>
      </w:r>
    </w:p>
    <w:p>
      <w:pPr>
        <w:pStyle w:val="Heading2"/>
        <w:keepNext/>
      </w:pPr>
      <w:r>
        <w:t>Premise</w:t>
      </w:r>
    </w:p>
    <w:p>
      <w:r>
        <w:t>A sheltered but formidable young Christian woman enters Fulcrum Institute, an elite postsecondary fellowship for the children and protégés of technology leaders. Its members believe they can solve alignment—first in machines, then in themselves. Beneath the public mission lie rival schools of “debugging,” social prediction, ecstatic practice, and attention training. The protagonist’s faith initially looks provincial; over the story it becomes a more resilient operating system for desire, discernment, confession, forgiveness, and collective action.</w:t>
      </w:r>
    </w:p>
    <w:p>
      <w:pPr>
        <w:pStyle w:val="Heading2"/>
        <w:keepNext/>
      </w:pPr>
      <w:r>
        <w:t>Core cast functions</w:t>
      </w:r>
    </w:p>
    <w:p>
      <w:pPr>
        <w:pStyle w:val="ListBullet"/>
      </w:pPr>
      <w:r>
        <w:t>The protagonist: intelligent, observant, and inexperienced. Her arc runs from borrowed virtue to tested, embodied conviction.</w:t>
      </w:r>
    </w:p>
    <w:p>
      <w:pPr>
        <w:pStyle w:val="ListBullet"/>
      </w:pPr>
      <w:r>
        <w:t>The romantic counterpart: attractive because he can wait, attend, apologize, protect boundaries, and remain playful under arousal and social pressure.</w:t>
      </w:r>
    </w:p>
    <w:p>
      <w:pPr>
        <w:pStyle w:val="ListBullet"/>
      </w:pPr>
      <w:r>
        <w:t>The friend-rival: formidable, sensuous, wounded, and agentic; her choices reveal the glamour and cost of power, occult certainty, and social command.</w:t>
      </w:r>
    </w:p>
    <w:p>
      <w:pPr>
        <w:pStyle w:val="ListBullet"/>
      </w:pPr>
      <w:r>
        <w:t>The mentor: transmits prayerful presence, clarity, and a form of authority proven through humility, transparency, and freedom.</w:t>
      </w:r>
    </w:p>
    <w:p>
      <w:pPr>
        <w:pStyle w:val="ListBullet"/>
      </w:pPr>
      <w:r>
        <w:t>The institution: the principal antagonist. Incentives, secrecy, epistemic overreach, charismatic asymmetry, and “world-saving” urgency turn good intentions dangerous.</w:t>
      </w:r>
    </w:p>
    <w:p>
      <w:pPr>
        <w:pStyle w:val="ListBullet"/>
      </w:pPr>
      <w:r>
        <w:t>The ensemble: provides denominational and ideological plurality, humor, disagreement, and witnesses who can contradict the protagonist’s interpretation.</w:t>
      </w:r>
    </w:p>
    <w:p>
      <w:pPr>
        <w:pStyle w:val="Heading2"/>
        <w:keepNext/>
      </w:pPr>
      <w:r>
        <w:t>Plot spine</w:t>
      </w:r>
    </w:p>
    <w:p>
      <w:pPr>
        <w:pStyle w:val="ListNumber"/>
        <w:numPr>
          <w:ilvl w:val="0"/>
          <w:numId w:val="11"/>
        </w:numPr>
      </w:pPr>
      <w:r>
        <w:t>Invitation: Fulcrum flatters the protagonist’s goodness, competence, and desire to help.</w:t>
      </w:r>
    </w:p>
    <w:p>
      <w:pPr>
        <w:pStyle w:val="ListNumber"/>
        <w:numPr>
          <w:ilvl w:val="0"/>
          <w:numId w:val="11"/>
        </w:numPr>
      </w:pPr>
      <w:r>
        <w:t>Enchantment: she discovers intense interpersonal synchrony, erotic attention, and a world in which body language seems almost telepathic.</w:t>
      </w:r>
    </w:p>
    <w:p>
      <w:pPr>
        <w:pStyle w:val="ListNumber"/>
        <w:numPr>
          <w:ilvl w:val="0"/>
          <w:numId w:val="11"/>
        </w:numPr>
      </w:pPr>
      <w:r>
        <w:t>First test: a manipulation she cannot prove leaves her ashamed and uncertain of her own perception.</w:t>
      </w:r>
    </w:p>
    <w:p>
      <w:pPr>
        <w:pStyle w:val="ListNumber"/>
        <w:numPr>
          <w:ilvl w:val="0"/>
          <w:numId w:val="11"/>
        </w:numPr>
      </w:pPr>
      <w:r>
        <w:t>Counter-formation: prayer, silence, community, truthful speech, and embodied boundaries restore her center without eliminating desire.</w:t>
      </w:r>
    </w:p>
    <w:p>
      <w:pPr>
        <w:pStyle w:val="ListNumber"/>
        <w:numPr>
          <w:ilvl w:val="0"/>
          <w:numId w:val="11"/>
        </w:numPr>
      </w:pPr>
      <w:r>
        <w:t>Escalation: rival groups interpret the same social and psychological events as demons, cognitive objects, trauma responses, memetic weapons, or ordinary politics.</w:t>
      </w:r>
    </w:p>
    <w:p>
      <w:pPr>
        <w:pStyle w:val="ListNumber"/>
        <w:numPr>
          <w:ilvl w:val="0"/>
          <w:numId w:val="11"/>
        </w:numPr>
      </w:pPr>
      <w:r>
        <w:t>Romantic ordeal: the couple’s restraint becomes costly; both must choose the other’s freedom over possession, certainty, or climax.</w:t>
      </w:r>
    </w:p>
    <w:p>
      <w:pPr>
        <w:pStyle w:val="ListNumber"/>
        <w:numPr>
          <w:ilvl w:val="0"/>
          <w:numId w:val="11"/>
        </w:numPr>
      </w:pPr>
      <w:r>
        <w:t>Crisis: a public ritual or alignment experiment causes cascading accusation and institutional panic.</w:t>
      </w:r>
    </w:p>
    <w:p>
      <w:pPr>
        <w:pStyle w:val="ListNumber"/>
        <w:numPr>
          <w:ilvl w:val="0"/>
          <w:numId w:val="11"/>
        </w:numPr>
      </w:pPr>
      <w:r>
        <w:t>Resolution: she wins by creating conditions for truth—witnesses, records, consent, exit rights, confession, mercy, and a public act no faction can fully explain.</w:t>
      </w:r>
    </w:p>
    <w:p>
      <w:pPr>
        <w:pStyle w:val="Heading2"/>
        <w:keepNext/>
      </w:pPr>
      <w:r>
        <w:t>Supernatural realism rule</w:t>
      </w:r>
    </w:p>
    <w:p>
      <w:r>
        <w:t>Render extraordinary events through several live explanations: divine intervention, demonic oppression, predictive-processing dynamics, trauma activation, deliberate social manipulation, coincidence, or mixture. Different characters commit differently; the tension comes from what each interpretation enables them to perceive and do.</w:t>
      </w:r>
    </w:p>
    <w:p>
      <w:pPr>
        <w:pStyle w:val="Heading1"/>
        <w:keepNext/>
      </w:pPr>
      <w:r>
        <w:t>5. Curriculum embedded in drama</w:t>
      </w:r>
    </w:p>
    <w:p>
      <w:pPr>
        <w:pStyle w:val="Heading2"/>
        <w:keepNext/>
      </w:pPr>
      <w:r>
        <w:t>Chastity as integrated desire</w:t>
      </w:r>
    </w:p>
    <w:p>
      <w:r>
        <w:t>Teaching claim: chastity is the form that allows sexual energy to serve love and perception. It is neither numbness nor perpetual tension. Scene device: a charged almost-kiss in which both characters become more present and less frantic when a boundary is named.</w:t>
      </w:r>
    </w:p>
    <w:p>
      <w:pPr>
        <w:pStyle w:val="Heading2"/>
        <w:keepNext/>
      </w:pPr>
      <w:r>
        <w:t>Attention and the body</w:t>
      </w:r>
    </w:p>
    <w:p>
      <w:r>
        <w:t>Teaching claim: bodily sensation, breathing, posture, vocal tone, and attentional breadth can provide data. Scene device: the protagonist notices her own contraction before deciding what another person intends.</w:t>
      </w:r>
    </w:p>
    <w:p>
      <w:pPr>
        <w:pStyle w:val="Heading2"/>
        <w:keepNext/>
      </w:pPr>
      <w:r>
        <w:t>Silence and verbal self-defense</w:t>
      </w:r>
    </w:p>
    <w:p>
      <w:r>
        <w:t>Teaching claim: manipulative speech often works by forcing pace, framing, and self-justification. Scene device: the protagonist stops explaining herself, asks one clarifying question, and waits.</w:t>
      </w:r>
    </w:p>
    <w:p>
      <w:pPr>
        <w:pStyle w:val="Heading2"/>
        <w:keepNext/>
      </w:pPr>
      <w:r>
        <w:t>Shame, confession, and fast feedback</w:t>
      </w:r>
    </w:p>
    <w:p>
      <w:r>
        <w:t>Teaching claim: dignity makes small, prompt correction possible. Scene device: a romantic misunderstanding is repaired before resentment becomes identity.</w:t>
      </w:r>
    </w:p>
    <w:p>
      <w:pPr>
        <w:pStyle w:val="Heading2"/>
        <w:keepNext/>
      </w:pPr>
      <w:r>
        <w:t>Boundaries and exit rights</w:t>
      </w:r>
    </w:p>
    <w:p>
      <w:r>
        <w:t>Teaching claim: a trustworthy spiritual or intimate container preserves the ability to say no, pause, consult outsiders, and leave without retaliation. Scene device: a mentor proves authority by protecting the protagonist’s refusal.</w:t>
      </w:r>
    </w:p>
    <w:p>
      <w:pPr>
        <w:pStyle w:val="Heading2"/>
        <w:keepNext/>
      </w:pPr>
      <w:r>
        <w:t>Prayer as active perception</w:t>
      </w:r>
    </w:p>
    <w:p>
      <w:r>
        <w:t>Teaching claim: prayer gathers attention, exposes motives, and orients action. Scene device: prayer produces the courage to collect evidence, ask for help, and move at the right moment.</w:t>
      </w:r>
    </w:p>
    <w:p>
      <w:pPr>
        <w:pStyle w:val="Heading1"/>
        <w:keepNext/>
      </w:pPr>
      <w:r>
        <w:t>6. Source library architecture</w:t>
      </w:r>
    </w:p>
    <w:p>
      <w:r>
        <w:t>Keep the source library plural. Each collection has a distinct imaginative and editorial role.</w:t>
      </w:r>
    </w:p>
    <w:tbl>
      <w:tblPr>
        <w:tblW w:type="dxa" w:w="9360"/>
        <w:tblLayout w:type="fixed"/>
        <w:tblLook w:firstColumn="1" w:firstRow="1" w:lastColumn="0" w:lastRow="0" w:noHBand="0" w:noVBand="1" w:val="04A0"/>
        <w:tblInd w:w="0" w:type="dxa"/>
      </w:tblPr>
      <w:tblGrid>
        <w:gridCol w:w="3120"/>
        <w:gridCol w:w="3120"/>
        <w:gridCol w:w="3120"/>
      </w:tblGrid>
      <w:tr>
        <w:trPr>
          <w:cantSplit/>
          <w:tblHeader w:val="true"/>
        </w:trPr>
        <w:tc>
          <w:tcPr>
            <w:tcW w:type="dxa" w:w="194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rPr>
                <w:rFonts w:ascii="Arial" w:hAnsi="Arial"/>
                <w:b/>
                <w:sz w:val="20"/>
              </w:rPr>
              <w:t>Library</w:t>
            </w:r>
          </w:p>
        </w:tc>
        <w:tc>
          <w:tcPr>
            <w:tcW w:type="dxa" w:w="338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rPr>
                <w:rFonts w:ascii="Arial" w:hAnsi="Arial"/>
                <w:b/>
                <w:sz w:val="20"/>
              </w:rPr>
              <w:t>What belongs here</w:t>
            </w:r>
          </w:p>
        </w:tc>
        <w:tc>
          <w:tcPr>
            <w:tcW w:type="dxa" w:w="4032"/>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Creative function</w:t>
            </w:r>
          </w:p>
        </w:tc>
      </w:tr>
      <w:tr>
        <w:trPr>
          <w:cantSplit/>
        </w:trPr>
        <w:tc>
          <w:tcPr>
            <w:tcW w:type="dxa" w:w="194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pPr>
              <w:spacing w:after="40" w:line="252" w:lineRule="auto"/>
            </w:pPr>
            <w:r>
              <w:rPr>
                <w:rFonts w:ascii="Arial" w:hAnsi="Arial"/>
                <w:sz w:val="19"/>
              </w:rPr>
              <w:t>A. Theological canon</w:t>
            </w:r>
          </w:p>
        </w:tc>
        <w:tc>
          <w:tcPr>
            <w:tcW w:type="dxa" w:w="338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pPr>
              <w:spacing w:after="40" w:line="252" w:lineRule="auto"/>
            </w:pPr>
            <w:r>
              <w:rPr>
                <w:rFonts w:ascii="Arial" w:hAnsi="Arial"/>
                <w:sz w:val="19"/>
              </w:rPr>
              <w:t>MPC corpus; Agnes Sanford / Leanne Payne lineage; Scripture; primary theological texts.</w:t>
            </w:r>
          </w:p>
        </w:tc>
        <w:tc>
          <w:tcPr>
            <w:tcW w:type="dxa" w:w="4032"/>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Doctrine, practice vocabulary, imagery, and theological claims.</w:t>
            </w:r>
          </w:p>
        </w:tc>
      </w:tr>
      <w:tr>
        <w:trPr>
          <w:cantSplit/>
        </w:trPr>
        <w:tc>
          <w:tcPr>
            <w:tcW w:type="dxa" w:w="194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pPr>
              <w:spacing w:after="40" w:line="252" w:lineRule="auto"/>
            </w:pPr>
            <w:r>
              <w:rPr>
                <w:rFonts w:ascii="Arial" w:hAnsi="Arial"/>
                <w:sz w:val="19"/>
              </w:rPr>
              <w:t>B. Working theory</w:t>
            </w:r>
          </w:p>
        </w:tc>
        <w:tc>
          <w:tcPr>
            <w:tcW w:type="dxa" w:w="338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pPr>
              <w:spacing w:after="40" w:line="252" w:lineRule="auto"/>
            </w:pPr>
            <w:r>
              <w:rPr>
                <w:rFonts w:ascii="Arial" w:hAnsi="Arial"/>
                <w:sz w:val="19"/>
              </w:rPr>
              <w:t>Your essays, chats, Bayesian Christianity notes, attention and subtle-body models.</w:t>
            </w:r>
          </w:p>
        </w:tc>
        <w:tc>
          <w:tcPr>
            <w:tcW w:type="dxa" w:w="4032"/>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Hypotheses, metaphors, scene concepts, and research questions.</w:t>
            </w:r>
          </w:p>
        </w:tc>
      </w:tr>
      <w:tr>
        <w:trPr>
          <w:cantSplit/>
        </w:trPr>
        <w:tc>
          <w:tcPr>
            <w:tcW w:type="dxa" w:w="194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pPr>
              <w:spacing w:after="40" w:line="252" w:lineRule="auto"/>
            </w:pPr>
            <w:r>
              <w:rPr>
                <w:rFonts w:ascii="Arial" w:hAnsi="Arial"/>
                <w:sz w:val="19"/>
              </w:rPr>
              <w:t>C. Case files</w:t>
            </w:r>
          </w:p>
        </w:tc>
        <w:tc>
          <w:tcPr>
            <w:tcW w:type="dxa" w:w="338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pPr>
              <w:spacing w:after="40" w:line="252" w:lineRule="auto"/>
            </w:pPr>
            <w:r>
              <w:rPr>
                <w:rFonts w:ascii="Arial" w:hAnsi="Arial"/>
                <w:sz w:val="19"/>
              </w:rPr>
              <w:t>Leverage testimony, histories, postmortems, high-demand-group and abuse literature.</w:t>
            </w:r>
          </w:p>
        </w:tc>
        <w:tc>
          <w:tcPr>
            <w:tcW w:type="dxa" w:w="4032"/>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Composite dynamics, institutional pressure, and plot material.</w:t>
            </w:r>
          </w:p>
        </w:tc>
      </w:tr>
      <w:tr>
        <w:trPr>
          <w:cantSplit/>
        </w:trPr>
        <w:tc>
          <w:tcPr>
            <w:tcW w:type="dxa" w:w="194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pPr>
              <w:spacing w:after="40" w:line="252" w:lineRule="auto"/>
            </w:pPr>
            <w:r>
              <w:rPr>
                <w:rFonts w:ascii="Arial" w:hAnsi="Arial"/>
                <w:sz w:val="19"/>
              </w:rPr>
              <w:t>D. Craft corpus</w:t>
            </w:r>
          </w:p>
        </w:tc>
        <w:tc>
          <w:tcPr>
            <w:tcW w:type="dxa" w:w="338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pPr>
              <w:spacing w:after="40" w:line="252" w:lineRule="auto"/>
            </w:pPr>
            <w:r>
              <w:rPr>
                <w:rFonts w:ascii="Arial" w:hAnsi="Arial"/>
                <w:sz w:val="19"/>
              </w:rPr>
              <w:t>Adult romance, thrillers, campus novels, epistolary/social-media forms, dialogue references.</w:t>
            </w:r>
          </w:p>
        </w:tc>
        <w:tc>
          <w:tcPr>
            <w:tcW w:type="dxa" w:w="4032"/>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Voice, pacing, heat, characterization, and genre expectations.</w:t>
            </w:r>
          </w:p>
        </w:tc>
      </w:tr>
      <w:tr>
        <w:trPr>
          <w:cantSplit/>
        </w:trPr>
        <w:tc>
          <w:tcPr>
            <w:tcW w:type="dxa" w:w="194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pPr>
              <w:spacing w:after="40" w:line="252" w:lineRule="auto"/>
            </w:pPr>
            <w:r>
              <w:rPr>
                <w:rFonts w:ascii="Arial" w:hAnsi="Arial"/>
                <w:sz w:val="19"/>
              </w:rPr>
              <w:t>E. Production lab</w:t>
            </w:r>
          </w:p>
        </w:tc>
        <w:tc>
          <w:tcPr>
            <w:tcW w:type="dxa" w:w="338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pPr>
              <w:spacing w:after="40" w:line="252" w:lineRule="auto"/>
            </w:pPr>
            <w:r>
              <w:rPr>
                <w:rFonts w:ascii="Arial" w:hAnsi="Arial"/>
                <w:sz w:val="19"/>
              </w:rPr>
              <w:t>Prompts, scene briefs, candidates, evaluations, revisions, continuity notes.</w:t>
            </w:r>
          </w:p>
        </w:tc>
        <w:tc>
          <w:tcPr>
            <w:tcW w:type="dxa" w:w="4032"/>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Prompts, scene briefs, candidates, evaluations, revisions, and continuity notes.</w:t>
            </w:r>
          </w:p>
        </w:tc>
      </w:tr>
    </w:tbl>
    <w:p>
      <w:pPr>
        <w:pStyle w:val="Heading2"/>
        <w:keepNext/>
      </w:pPr>
      <w:r>
        <w:t>Source roles</w:t>
      </w:r>
    </w:p>
    <w:p>
      <w:pPr>
        <w:pStyle w:val="ListBullet"/>
      </w:pPr>
      <w:r>
        <w:t>CANON: authoritative for the project’s theology or story continuity.</w:t>
      </w:r>
    </w:p>
    <w:p>
      <w:pPr>
        <w:pStyle w:val="ListBullet"/>
      </w:pPr>
      <w:r>
        <w:t>PRIMARY: firsthand account, original artifact, or direct project material.</w:t>
      </w:r>
    </w:p>
    <w:p>
      <w:pPr>
        <w:pStyle w:val="ListBullet"/>
      </w:pPr>
      <w:r>
        <w:t>SECONDARY: analysis, commentary, or synthesis.</w:t>
      </w:r>
    </w:p>
    <w:p>
      <w:pPr>
        <w:pStyle w:val="ListBullet"/>
      </w:pPr>
      <w:r>
        <w:t>WORKING THEORY: a live explanatory model and source of scene hypotheses.</w:t>
      </w:r>
    </w:p>
    <w:p>
      <w:pPr>
        <w:pStyle w:val="ListBullet"/>
      </w:pPr>
      <w:r>
        <w:t>SCENE SEED: imagery, mechanism, encounter, or conflict ready for fictional transformation.</w:t>
      </w:r>
    </w:p>
    <w:p>
      <w:pPr>
        <w:pStyle w:val="Heading1"/>
        <w:keepNext/>
      </w:pPr>
      <w:r>
        <w:t>7. Dramatic epistemology</w:t>
      </w:r>
    </w:p>
    <w:p>
      <w:pPr>
        <w:pStyle w:val="ListNumber"/>
        <w:numPr>
          <w:ilvl w:val="0"/>
          <w:numId w:val="12"/>
        </w:numPr>
      </w:pPr>
      <w:r>
        <w:t>Observation, interpretation, and mechanism form separate dramatic layers: what happened, what a character thinks happened, and what finally explains it.</w:t>
      </w:r>
    </w:p>
    <w:p>
      <w:pPr>
        <w:pStyle w:val="ListNumber"/>
        <w:numPr>
          <w:ilvl w:val="0"/>
          <w:numId w:val="12"/>
        </w:numPr>
      </w:pPr>
      <w:r>
        <w:t>Body-reading becomes high-resolution social perception: posture, breath, rhythm, gaze, sensation, and vocal timbre function as evidence inside charged encounters.</w:t>
      </w:r>
    </w:p>
    <w:p>
      <w:pPr>
        <w:pStyle w:val="ListNumber"/>
        <w:numPr>
          <w:ilvl w:val="0"/>
          <w:numId w:val="12"/>
        </w:numPr>
      </w:pPr>
      <w:r>
        <w:t>Testimony remains character-bound—true, partial, distorted, sacred, strategic, or several at once.</w:t>
      </w:r>
    </w:p>
    <w:p>
      <w:pPr>
        <w:pStyle w:val="ListNumber"/>
        <w:numPr>
          <w:ilvl w:val="0"/>
          <w:numId w:val="12"/>
        </w:numPr>
      </w:pPr>
      <w:r>
        <w:t>Competing explanatory systems generate alliance, seduction, misrecognition, revelation, and plot.</w:t>
      </w:r>
    </w:p>
    <w:p>
      <w:pPr>
        <w:pStyle w:val="ListNumber"/>
        <w:numPr>
          <w:ilvl w:val="0"/>
          <w:numId w:val="12"/>
        </w:numPr>
      </w:pPr>
      <w:r>
        <w:t>Composites recombine real dynamics into characters and institutions with their own causal integrity.</w:t>
      </w:r>
    </w:p>
    <w:p>
      <w:pPr>
        <w:pStyle w:val="Heading1"/>
        <w:keepNext/>
      </w:pPr>
      <w:r>
        <w:t>8. Production system: best-of-N without slop</w:t>
      </w:r>
    </w:p>
    <w:p>
      <w:r>
        <w:t>The proposed stack is a scene-level editorial cascade. Generate and compare at the smallest unit that still carries intention, causality, and voice—usually a beat or scene—so local intensity serves a coherent emotional arc.</w:t>
      </w:r>
    </w:p>
    <w:p>
      <w:pPr>
        <w:pStyle w:val="Heading2"/>
        <w:keepNext/>
      </w:pPr>
      <w:r>
        <w:t>Pipeline</w:t>
      </w:r>
    </w:p>
    <w:tbl>
      <w:tblPr>
        <w:tblW w:type="auto" w:w="0"/>
        <w:tblLayout w:type="fixed"/>
        <w:tblLook w:firstColumn="1" w:firstRow="1" w:lastColumn="0" w:lastRow="0" w:noHBand="0" w:noVBand="1" w:val="04A0"/>
        <w:tblW w:w="9360" w:type="dxa"/>
        <w:tblInd w:w="0" w:type="dxa"/>
      </w:tblPr>
      <w:tblGrid>
        <w:gridCol w:w="3120"/>
        <w:gridCol w:w="3120"/>
        <w:gridCol w:w="3120"/>
      </w:tblGrid>
      <w:tr>
        <w:trPr>
          <w:cantSplit/>
          <w:tblHeader w:val="true"/>
        </w:trPr>
        <w:tc>
          <w:tcPr>
            <w:tcW w:type="dxa" w:w="1800"/>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rPr>
                <w:rFonts w:ascii="Arial" w:hAnsi="Arial"/>
                <w:b/>
                <w:sz w:val="20"/>
              </w:rPr>
              <w:t>Stage</w:t>
            </w:r>
          </w:p>
        </w:tc>
        <w:tc>
          <w:tcPr>
            <w:tcW w:type="dxa" w:w="302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rPr>
                <w:rFonts w:ascii="Arial" w:hAnsi="Arial"/>
                <w:b/>
                <w:sz w:val="20"/>
              </w:rPr>
              <w:t>Artifact</w:t>
            </w:r>
          </w:p>
        </w:tc>
        <w:tc>
          <w:tcPr>
            <w:tcW w:type="dxa" w:w="4536"/>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Completion test</w:t>
            </w:r>
          </w:p>
        </w:tc>
      </w:tr>
      <w:tr>
        <w:trPr>
          <w:cantSplit/>
        </w:trPr>
        <w:tc>
          <w:tcPr>
            <w:tcW w:type="dxa" w:w="1800"/>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1. Retrieve</w:t>
            </w:r>
          </w:p>
        </w:tc>
        <w:tc>
          <w:tcPr>
            <w:tcW w:type="dxa" w:w="302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A compact source packet for one scene.</w:t>
            </w:r>
          </w:p>
        </w:tc>
        <w:tc>
          <w:tcPr>
            <w:tcW w:type="dxa" w:w="4536"/>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Every claim is traceable to a source and role.</w:t>
            </w:r>
          </w:p>
        </w:tc>
      </w:tr>
      <w:tr>
        <w:trPr>
          <w:cantSplit/>
        </w:trPr>
        <w:tc>
          <w:tcPr>
            <w:tcW w:type="dxa" w:w="1800"/>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2. Specify</w:t>
            </w:r>
          </w:p>
        </w:tc>
        <w:tc>
          <w:tcPr>
            <w:tcW w:type="dxa" w:w="302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Scene card: desire, obstacle, turn, teaching payload, heat limit, continuity facts.</w:t>
            </w:r>
          </w:p>
        </w:tc>
        <w:tc>
          <w:tcPr>
            <w:tcW w:type="dxa" w:w="4536"/>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One dramatic purpose, a clear turn, and an embodied teaching payload.</w:t>
            </w:r>
          </w:p>
        </w:tc>
      </w:tr>
      <w:tr>
        <w:trPr>
          <w:cantSplit/>
        </w:trPr>
        <w:tc>
          <w:tcPr>
            <w:tcW w:type="dxa" w:w="1800"/>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3. Generate</w:t>
            </w:r>
          </w:p>
        </w:tc>
        <w:tc>
          <w:tcPr>
            <w:tcW w:type="dxa" w:w="302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8–24 full-scene candidates from varied prompts, models, and temperatures.</w:t>
            </w:r>
          </w:p>
        </w:tc>
        <w:tc>
          <w:tcPr>
            <w:tcW w:type="dxa" w:w="4536"/>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Every candidate realizes the scene card and continuity facts.</w:t>
            </w:r>
          </w:p>
        </w:tc>
      </w:tr>
      <w:tr>
        <w:trPr>
          <w:cantSplit/>
        </w:trPr>
        <w:tc>
          <w:tcPr>
            <w:tcW w:type="dxa" w:w="1800"/>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4. Critique</w:t>
            </w:r>
          </w:p>
        </w:tc>
        <w:tc>
          <w:tcPr>
            <w:tcW w:type="dxa" w:w="302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Independent rubric scores plus pairwise comparisons.</w:t>
            </w:r>
          </w:p>
        </w:tc>
        <w:tc>
          <w:tcPr>
            <w:tcW w:type="dxa" w:w="4536"/>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Critics cite exact passages and separate craft judgment from taste.</w:t>
            </w:r>
          </w:p>
        </w:tc>
      </w:tr>
      <w:tr>
        <w:trPr>
          <w:cantSplit/>
        </w:trPr>
        <w:tc>
          <w:tcPr>
            <w:tcW w:type="dxa" w:w="1800"/>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5. Select</w:t>
            </w:r>
          </w:p>
        </w:tc>
        <w:tc>
          <w:tcPr>
            <w:tcW w:type="dxa" w:w="302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One scene or one coherent base scene.</w:t>
            </w:r>
          </w:p>
        </w:tc>
        <w:tc>
          <w:tcPr>
            <w:tcW w:type="dxa" w:w="4536"/>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The chosen scene has the strongest global arc.</w:t>
            </w:r>
          </w:p>
        </w:tc>
      </w:tr>
      <w:tr>
        <w:trPr>
          <w:cantSplit/>
        </w:trPr>
        <w:tc>
          <w:tcPr>
            <w:tcW w:type="dxa" w:w="1800"/>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6. Revise</w:t>
            </w:r>
          </w:p>
        </w:tc>
        <w:tc>
          <w:tcPr>
            <w:tcW w:type="dxa" w:w="302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Targeted rewrite against a short defect list.</w:t>
            </w:r>
          </w:p>
        </w:tc>
        <w:tc>
          <w:tcPr>
            <w:tcW w:type="dxa" w:w="4536"/>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The revision solves named defects while preserving what works.</w:t>
            </w:r>
          </w:p>
        </w:tc>
      </w:tr>
      <w:tr>
        <w:trPr>
          <w:cantSplit/>
        </w:trPr>
        <w:tc>
          <w:tcPr>
            <w:tcW w:type="dxa" w:w="1800"/>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7. Human edit</w:t>
            </w:r>
          </w:p>
        </w:tc>
        <w:tc>
          <w:tcPr>
            <w:tcW w:type="dxa" w:w="302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Line-edited, continuity-checked scene.</w:t>
            </w:r>
          </w:p>
        </w:tc>
        <w:tc>
          <w:tcPr>
            <w:tcW w:type="dxa" w:w="4536"/>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A named editor accepts the final scene.</w:t>
            </w:r>
          </w:p>
        </w:tc>
      </w:tr>
      <w:tr>
        <w:trPr>
          <w:cantSplit/>
        </w:trPr>
        <w:tc>
          <w:tcPr>
            <w:tcW w:type="dxa" w:w="1800"/>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8. Release review</w:t>
            </w:r>
          </w:p>
        </w:tc>
        <w:tc>
          <w:tcPr>
            <w:tcW w:type="dxa" w:w="3024"/>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Story, theology, continuity, audience, and publication review.</w:t>
            </w:r>
          </w:p>
        </w:tc>
        <w:tc>
          <w:tcPr>
            <w:tcW w:type="dxa" w:w="4536"/>
            <w:vAlign w:val="center"/>
            <w:tcMar>
              <w:top w:w="80" w:type="dxa"/>
              <w:bottom w:w="80" w:type="dxa"/>
              <w:start w:w="120" w:type="dxa"/>
              <w:end w:w="120" w:type="dxa"/>
            </w:tcMar>
            <w:shd w:fill="FFFFFF"/>
            <w:tcBorders>
              <w:top w:val="single" w:sz="4" w:color="DADCE0"/>
              <w:left w:val="single" w:sz="4" w:color="DADCE0"/>
              <w:bottom w:val="single" w:sz="4" w:color="DADCE0"/>
              <w:right w:val="single" w:sz="4" w:color="DADCE0"/>
              <w:insideH w:val="single" w:sz="4" w:color="DADCE0"/>
              <w:insideV w:val="single" w:sz="4" w:color="DADCE0"/>
            </w:tcBorders>
          </w:tcPr>
          <w:p>
            <w:r>
              <w:t>One owner signs off on each domain.</w:t>
            </w:r>
          </w:p>
        </w:tc>
      </w:tr>
    </w:tbl>
    <w:p>
      <w:pPr>
        <w:pStyle w:val="Heading2"/>
        <w:keepNext/>
      </w:pPr>
      <w:r>
        <w:t>Evaluation rubric</w:t>
      </w:r>
    </w:p>
    <w:p>
      <w:pPr>
        <w:pStyle w:val="ListBullet"/>
      </w:pPr>
      <w:r>
        <w:t>Narrative force (20): clear desire, escalating pressure, meaningful turn, earned aftermath.</w:t>
      </w:r>
    </w:p>
    <w:p>
      <w:pPr>
        <w:pStyle w:val="ListBullet"/>
      </w:pPr>
      <w:r>
        <w:t>Character truth (15): actions arise from history and motive; doctrine appears through desire, choice, and consequence.</w:t>
      </w:r>
    </w:p>
    <w:p>
      <w:pPr>
        <w:pStyle w:val="ListBullet"/>
      </w:pPr>
      <w:r>
        <w:t>Heat with agency (15): attraction is vivid, boundaries are mutual, and restraint sharpens perception of the beloved.</w:t>
      </w:r>
    </w:p>
    <w:p>
      <w:pPr>
        <w:pStyle w:val="ListBullet"/>
      </w:pPr>
      <w:r>
        <w:t>Instructional fidelity (15): the scene teaches through consequence, discovery, and choice.</w:t>
      </w:r>
    </w:p>
    <w:p>
      <w:pPr>
        <w:pStyle w:val="ListBullet"/>
      </w:pPr>
      <w:r>
        <w:t>Prose and voice (15): sensory precision, rhythm, dialogue subtext, humor, and an unmistakable authorial pulse.</w:t>
      </w:r>
    </w:p>
    <w:p>
      <w:pPr>
        <w:pStyle w:val="ListBullet"/>
      </w:pPr>
      <w:r>
        <w:t>Theological coherence (10): grace, dignity, incarnation, virtue, confession, and freedom shape the scene’s causal and emotional structure.</w:t>
      </w:r>
    </w:p>
    <w:p>
      <w:pPr>
        <w:pStyle w:val="ListBullet"/>
      </w:pPr>
      <w:r>
        <w:t>Epistemic texture (10): extraordinary experience is rendered with sensory precision, interpretive depth, and causal tension.</w:t>
      </w:r>
    </w:p>
    <w:p>
      <w:pPr>
        <w:pStyle w:val="Heading1"/>
        <w:keepNext/>
      </w:pPr>
      <w:r>
        <w:t>9. Editorial ownership</w:t>
      </w:r>
    </w:p>
    <w:p>
      <w:pPr>
        <w:pStyle w:val="ListBullet"/>
      </w:pPr>
      <w:r>
        <w:t>The three founders own distinct editorial domains: story and craft, theology and practice, and publication judgment.</w:t>
      </w:r>
    </w:p>
    <w:p>
      <w:pPr>
        <w:pStyle w:val="ListBullet"/>
      </w:pPr>
      <w:r>
        <w:t>Maintain a compact decision log and a source-transformation log so the team can reproduce its best judgments.</w:t>
      </w:r>
    </w:p>
    <w:p>
      <w:pPr>
        <w:pStyle w:val="ListBullet"/>
      </w:pPr>
      <w:r>
        <w:t>Before release, use three readers with distinct jobs: a fiction editor, an intended reader, and a theological-practice reader.</w:t>
      </w:r>
    </w:p>
    <w:p>
      <w:pPr>
        <w:pStyle w:val="Heading1"/>
        <w:keepNext/>
      </w:pPr>
      <w:r>
        <w:t>10. Four-week pilot</w:t>
      </w:r>
    </w:p>
    <w:p>
      <w:pPr>
        <w:pStyle w:val="ListNumber"/>
        <w:numPr>
          <w:ilvl w:val="0"/>
          <w:numId w:val="13"/>
        </w:numPr>
      </w:pPr>
      <w:r>
        <w:t>Week 1 — Canon and source cards: approve this brief; assign source roles; choose 20–30 anchor passages; build the first retrieval packets.</w:t>
      </w:r>
    </w:p>
    <w:p>
      <w:pPr>
        <w:pStyle w:val="ListNumber"/>
        <w:numPr>
          <w:ilvl w:val="0"/>
          <w:numId w:val="13"/>
        </w:numPr>
      </w:pPr>
      <w:r>
        <w:t>Week 2 — Story bible: finalize adult setting, cast, supernatural ambiguity rules, romantic boundaries, plot spine, and five teaching scenes.</w:t>
      </w:r>
    </w:p>
    <w:p>
      <w:pPr>
        <w:pStyle w:val="ListNumber"/>
        <w:numPr>
          <w:ilvl w:val="0"/>
          <w:numId w:val="13"/>
        </w:numPr>
      </w:pPr>
      <w:r>
        <w:t>Week 3 — Scene lab: produce three scenes—the entrance/enchantment, the first boundary under pressure, and the public crisis—using the full generation cascade.</w:t>
      </w:r>
    </w:p>
    <w:p>
      <w:pPr>
        <w:pStyle w:val="ListNumber"/>
        <w:numPr>
          <w:ilvl w:val="0"/>
          <w:numId w:val="13"/>
        </w:numPr>
      </w:pPr>
      <w:r>
        <w:t>Week 4 — Reader test: compare human-only, lightly assisted, and best-of-N versions with blinded readers; record heat, trust, clarity, memorability, and “preachiness.”</w:t>
      </w:r>
    </w:p>
    <w:p>
      <w:r>
        <w:t>Pilot success means at least one scene is genuinely publishable after human editing, readers can state the teaching while remembering the scene first, and the team can reproduce the process while preserving voice and continuity.</w:t>
      </w:r>
    </w:p>
    <w:p>
      <w:pPr>
        <w:pStyle w:val="Heading1"/>
        <w:keepNext/>
      </w:pPr>
      <w:r>
        <w:t>11. Immediate backlog</w:t>
      </w:r>
    </w:p>
    <w:p>
      <w:pPr>
        <w:pStyle w:val="ListBullet"/>
      </w:pPr>
      <w:r>
        <w:t>Rename Fulcrum Institute if desired and write a one-page setting brief.</w:t>
      </w:r>
    </w:p>
    <w:p>
      <w:pPr>
        <w:pStyle w:val="ListBullet"/>
      </w:pPr>
      <w:r>
        <w:t>Choose protagonist age, denomination, family structure, wound, virtue, false belief, and concrete external objective.</w:t>
      </w:r>
    </w:p>
    <w:p>
      <w:pPr>
        <w:pStyle w:val="ListBullet"/>
      </w:pPr>
      <w:r>
        <w:t>Decide the adult heat ceiling: intense closed-door, non-graphic erotic prose, or another explicit boundary.</w:t>
      </w:r>
    </w:p>
    <w:p>
      <w:pPr>
        <w:pStyle w:val="ListBullet"/>
      </w:pPr>
      <w:r>
        <w:t>Create 20 source cards from the MPC corpus and 10 case-dynamic cards from the Leverage collection.</w:t>
      </w:r>
    </w:p>
    <w:p>
      <w:pPr>
        <w:pStyle w:val="ListBullet"/>
      </w:pPr>
      <w:r>
        <w:t>Write the three pilot scene cards before selecting models.</w:t>
      </w:r>
    </w:p>
    <w:p>
      <w:pPr>
        <w:pStyle w:val="ListBullet"/>
      </w:pPr>
      <w:r>
        <w:t>Recruit one target reader, one fiction editor, and one theological-practice reader for the blind test.</w:t>
      </w:r>
    </w:p>
    <w:p>
      <w:pPr>
        <w:pStyle w:val="ListBullet"/>
      </w:pPr>
      <w:r>
        <w:t>Draft the transformation-log template and story-canon ledger.</w:t>
      </w:r>
    </w:p>
    <w:p>
      <w:pPr>
        <w:pStyle w:val="ListBullet"/>
      </w:pPr>
      <w:r>
        <w:t>Define a reproducible evaluation sheet and calibrate judges on five human-written sample scenes before using them.</w:t>
      </w:r>
    </w:p>
    <w:p>
      <w:pPr>
        <w:pStyle w:val="Heading1"/>
        <w:keepNext/>
      </w:pPr>
      <w:r>
        <w:t>Appendix A. Drive source register</w:t>
      </w:r>
    </w:p>
    <w:p>
      <w:r>
        <w:t>Priority sources already located in Drive.</w:t>
      </w:r>
    </w:p>
    <w:p>
      <w:pPr>
        <w:pStyle w:val="Heading2"/>
        <w:keepNext/>
      </w:pPr>
      <w:r>
        <w:t>Psychotechnology / embodiment collection</w:t>
      </w:r>
    </w:p>
    <w:p>
      <w:pPr>
        <w:pStyle w:val="ListBullet"/>
      </w:pPr>
      <w:r>
        <w:t>Juicy chastity chat — raw dialogue articulating the project’s central sexual-attention thesis.</w:t>
      </w:r>
    </w:p>
    <w:p>
      <w:pPr>
        <w:pStyle w:val="ListBullet"/>
      </w:pPr>
      <w:r>
        <w:t>Original sin and the goddess of everything else — fallibility, shadow, rapid feedback, desire integration.</w:t>
      </w:r>
    </w:p>
    <w:p>
      <w:pPr>
        <w:pStyle w:val="ListBullet"/>
      </w:pPr>
      <w:r>
        <w:t>Head vs. Heart awakenings — critique of dissociative practice and “sensory conductivity.”</w:t>
      </w:r>
    </w:p>
    <w:p>
      <w:pPr>
        <w:pStyle w:val="ListBullet"/>
      </w:pPr>
      <w:r>
        <w:t>Scalability, goals, and risks of mysticism — container hazards, power, developmental readiness, and community norms.</w:t>
      </w:r>
    </w:p>
    <w:p>
      <w:pPr>
        <w:pStyle w:val="ListBullet"/>
      </w:pPr>
      <w:r>
        <w:t>Bayesian Christianity Heilmeier Catechism and Notes — research program, dual-use psychotechnology, and success criteria.</w:t>
      </w:r>
    </w:p>
    <w:p>
      <w:pPr>
        <w:pStyle w:val="ListBullet"/>
      </w:pPr>
      <w:r>
        <w:t>Bayesian prompt — large prompt/research compilation.</w:t>
      </w:r>
    </w:p>
    <w:p>
      <w:pPr>
        <w:pStyle w:val="ListBullet"/>
      </w:pPr>
      <w:r>
        <w:t>On Servant Leaders, for Michael Vassar — transparency, systems accountability, leadership exemplars, and lineage claims.</w:t>
      </w:r>
    </w:p>
    <w:p>
      <w:pPr>
        <w:pStyle w:val="ListBullet"/>
      </w:pPr>
      <w:r>
        <w:t>On Anger, Boundaries, and Kundalini; Camera Tech; Troubleshooting Sexual Rejection — candidate practice and scene material.</w:t>
      </w:r>
    </w:p>
    <w:p>
      <w:pPr>
        <w:pStyle w:val="Heading2"/>
        <w:keepNext/>
      </w:pPr>
      <w:r>
        <w:t>Leverage / social influence collection</w:t>
      </w:r>
    </w:p>
    <w:p>
      <w:pPr>
        <w:pStyle w:val="ListBullet"/>
      </w:pPr>
      <w:r>
        <w:t>My Experience with Leverage Research — firsthand testimony on organizational intensity, practice formation, contested events, and postmortem interpretation.</w:t>
      </w:r>
    </w:p>
    <w:p>
      <w:pPr>
        <w:pStyle w:val="ListBullet"/>
      </w:pPr>
      <w:r>
        <w:t>The Muscle-Readers, a Historical Sketch — context for muscle reading and nonverbal inference.</w:t>
      </w:r>
    </w:p>
    <w:p>
      <w:pPr>
        <w:pStyle w:val="ListBullet"/>
      </w:pPr>
      <w:r>
        <w:t>On Training Energy Awareness — tradition-based phenomenology, training advice, and practice design.</w:t>
      </w:r>
    </w:p>
    <w:p>
      <w:pPr>
        <w:pStyle w:val="ListBullet"/>
      </w:pPr>
      <w:r>
        <w:t>Leverage 1.0 Postmortem Inquiry — analytical case material.</w:t>
      </w:r>
    </w:p>
    <w:p>
      <w:pPr>
        <w:pStyle w:val="ListBullet"/>
      </w:pPr>
      <w:r>
        <w:t>Self-Alignment System, versions 5 and 7; Chart Logic &amp; Core Mechanics; On Intention Research; How to Belief Report — methods artifacts for scene mechanics and institutional texture.</w:t>
      </w:r>
    </w:p>
    <w:p>
      <w:pPr>
        <w:pStyle w:val="Heading2"/>
        <w:keepNext/>
      </w:pPr>
      <w:r>
        <w:t>Local MPC corpus</w:t>
      </w:r>
    </w:p>
    <w:p>
      <w:pPr>
        <w:pStyle w:val="ListBullet"/>
      </w:pPr>
      <w:r>
        <w:t>1,095 preserved resource documents; 382 search-grade documents; 8,336 indexed blocks; audit status PASS.</w:t>
      </w:r>
    </w:p>
    <w:p>
      <w:pPr>
        <w:pStyle w:val="ListBullet"/>
      </w:pPr>
      <w:r>
        <w:t>Particularly strong themes for this project: chastity as integration, whole-person love, embodied shame, silence and verbal manipulation, virtue ordering attention and desire, true masculine/feminine, and spiritual conflict around sexuality.</w:t>
      </w:r>
    </w:p>
    <w:p>
      <w:pPr>
        <w:pStyle w:val="Heading1"/>
        <w:keepNext/>
      </w:pPr>
      <w:r>
        <w:t>Appendix B. MPC evidence anchors</w:t>
      </w:r>
    </w:p>
    <w:p>
      <w:pPr>
        <w:spacing w:after="100"/>
      </w:pPr>
      <w:r>
        <w:rPr>
          <w:b/>
        </w:rPr>
        <w:t xml:space="preserve">mpc-74e7842c6f30540d8f5a-b000036 — </w:t>
      </w:r>
      <w:r>
        <w:t xml:space="preserve">Chastity integrates sexual drive and passions toward loving the other as a person, not an object. </w:t>
      </w:r>
      <w:hyperlink r:id="rId9">
        <w:r>
          <w:rPr>
            <w:rFonts w:ascii="Arial" w:hAnsi="Arial"/>
            <w:color w:val="1155CC"/>
            <w:u w:val="single"/>
          </w:rPr>
          <w:t>Source</w:t>
        </w:r>
      </w:hyperlink>
    </w:p>
    <w:p>
      <w:pPr>
        <w:spacing w:after="100"/>
      </w:pPr>
      <w:r>
        <w:rPr>
          <w:b/>
        </w:rPr>
        <w:t xml:space="preserve">mpc-ca29b10298b40cbb4106-b000072 — </w:t>
      </w:r>
      <w:r>
        <w:t xml:space="preserve">Chastity is not suppression or a simple “no”; it orients desire. </w:t>
      </w:r>
      <w:hyperlink r:id="rId10">
        <w:r>
          <w:rPr>
            <w:rFonts w:ascii="Arial" w:hAnsi="Arial"/>
            <w:color w:val="1155CC"/>
            <w:u w:val="single"/>
          </w:rPr>
          <w:t>Source</w:t>
        </w:r>
      </w:hyperlink>
    </w:p>
    <w:p>
      <w:pPr>
        <w:spacing w:after="100"/>
      </w:pPr>
      <w:r>
        <w:rPr>
          <w:b/>
        </w:rPr>
        <w:t xml:space="preserve">mpc-ca29b10298b40cbb4106-b000073 — </w:t>
      </w:r>
      <w:r>
        <w:t xml:space="preserve">Growth in chastity reduces inner tension and creates space to notice experience and choose. </w:t>
      </w:r>
      <w:hyperlink r:id="rId10">
        <w:r>
          <w:rPr>
            <w:rFonts w:ascii="Arial" w:hAnsi="Arial"/>
            <w:color w:val="1155CC"/>
            <w:u w:val="single"/>
          </w:rPr>
          <w:t>Source</w:t>
        </w:r>
      </w:hyperlink>
    </w:p>
    <w:p>
      <w:pPr>
        <w:spacing w:after="100"/>
      </w:pPr>
      <w:r>
        <w:rPr>
          <w:b/>
        </w:rPr>
        <w:t xml:space="preserve">mpc-ca29b10298b40cbb4106-b000077 — </w:t>
      </w:r>
      <w:r>
        <w:t xml:space="preserve">Chastity can intensify whole-person affection and delight rather than impoverish intimacy. </w:t>
      </w:r>
      <w:hyperlink r:id="rId10">
        <w:r>
          <w:rPr>
            <w:rFonts w:ascii="Arial" w:hAnsi="Arial"/>
            <w:color w:val="1155CC"/>
            <w:u w:val="single"/>
          </w:rPr>
          <w:t>Source</w:t>
        </w:r>
      </w:hyperlink>
    </w:p>
    <w:p>
      <w:pPr>
        <w:spacing w:after="100"/>
      </w:pPr>
      <w:r>
        <w:rPr>
          <w:b/>
        </w:rPr>
        <w:t xml:space="preserve">mpc-e351064b2f36ff9d0268-b000038 — </w:t>
      </w:r>
      <w:r>
        <w:t xml:space="preserve">Speech can become a weapon of manipulation and self-justification; silence interrupts that cycle. </w:t>
      </w:r>
      <w:hyperlink r:id="rId11">
        <w:r>
          <w:rPr>
            <w:rFonts w:ascii="Arial" w:hAnsi="Arial"/>
            <w:color w:val="1155CC"/>
            <w:u w:val="single"/>
          </w:rPr>
          <w:t>Source</w:t>
        </w:r>
      </w:hyperlink>
    </w:p>
    <w:p>
      <w:pPr>
        <w:spacing w:after="100"/>
      </w:pPr>
      <w:r>
        <w:rPr>
          <w:b/>
        </w:rPr>
        <w:t xml:space="preserve">mpc-bed8cc08b27ddaec05e4-b000021 — </w:t>
      </w:r>
      <w:r>
        <w:t xml:space="preserve">Shame is described as beginning in the body with exposure and the message “I’m not enough.” </w:t>
      </w:r>
      <w:hyperlink r:id="rId12">
        <w:r>
          <w:rPr>
            <w:rFonts w:ascii="Arial" w:hAnsi="Arial"/>
            <w:color w:val="1155CC"/>
            <w:u w:val="single"/>
          </w:rPr>
          <w:t>Source</w:t>
        </w:r>
      </w:hyperlink>
    </w:p>
    <w:p>
      <w:pPr>
        <w:spacing w:after="100"/>
      </w:pPr>
      <w:r>
        <w:rPr>
          <w:b/>
        </w:rPr>
        <w:t xml:space="preserve">mpc-07622b1a7b3697ea39c6-b000025 — </w:t>
      </w:r>
      <w:r>
        <w:t xml:space="preserve">Virtue orders attention, desire, motivation, and the governance of the interior life. </w:t>
      </w:r>
      <w:hyperlink r:id="rId13">
        <w:r>
          <w:rPr>
            <w:rFonts w:ascii="Arial" w:hAnsi="Arial"/>
            <w:color w:val="1155CC"/>
            <w:u w:val="single"/>
          </w:rPr>
          <w:t>Source</w:t>
        </w:r>
      </w:hyperlink>
    </w:p>
    <w:p>
      <w:pPr>
        <w:spacing w:after="100"/>
      </w:pPr>
      <w:r>
        <w:rPr>
          <w:b/>
        </w:rPr>
        <w:t xml:space="preserve">mpc-96b25535238c133733ea-b000013 — </w:t>
      </w:r>
      <w:r>
        <w:t xml:space="preserve">Virtue is framed as excellent action becoming stable, joyful, and interiorly free. </w:t>
      </w:r>
      <w:hyperlink r:id="rId14">
        <w:r>
          <w:rPr>
            <w:rFonts w:ascii="Arial" w:hAnsi="Arial"/>
            <w:color w:val="1155CC"/>
            <w:u w:val="single"/>
          </w:rPr>
          <w:t>Source</w:t>
        </w:r>
      </w:hyperlink>
    </w:p>
    <w:p>
      <w:pPr>
        <w:pStyle w:val="Heading1"/>
        <w:keepNext/>
      </w:pPr>
      <w:r>
        <w:t>Appendix C. Open decisions for the founders</w:t>
      </w:r>
    </w:p>
    <w:p>
      <w:pPr>
        <w:pStyle w:val="ListBullet"/>
      </w:pPr>
      <w:r>
        <w:t>Working title and whether “chastity smut” is internal language, public positioning, or both.</w:t>
      </w:r>
    </w:p>
    <w:p>
      <w:pPr>
        <w:pStyle w:val="ListBullet"/>
      </w:pPr>
      <w:r>
        <w:t>Exact heat ceiling and whether any on-page sexual behavior appears before marriage.</w:t>
      </w:r>
    </w:p>
    <w:p>
      <w:pPr>
        <w:pStyle w:val="ListBullet"/>
      </w:pPr>
      <w:r>
        <w:t>Protagonist’s denomination and the breadth of the intended Christian coalition.</w:t>
      </w:r>
    </w:p>
    <w:p>
      <w:pPr>
        <w:pStyle w:val="ListBullet"/>
      </w:pPr>
      <w:r>
        <w:t>How literally the story treats demons, prayer effects, and apparent telepathy.</w:t>
      </w:r>
    </w:p>
    <w:p>
      <w:pPr>
        <w:pStyle w:val="ListBullet"/>
      </w:pPr>
      <w:r>
        <w:t>Which real cases may be used in companion nonfiction and which remain fiction-only inspiration.</w:t>
      </w:r>
    </w:p>
    <w:p>
      <w:pPr>
        <w:pStyle w:val="ListBullet"/>
      </w:pPr>
      <w:r>
        <w:t>Who holds final authority for story, theology, and publication when editors disagree.</w:t>
      </w:r>
    </w:p>
    <w:p>
      <w:pPr>
        <w:pStyle w:val="ListBullet"/>
      </w:pPr>
      <w:r>
        <w:t>Whether the initial product is a novel, serial, audio drama, visual novel, or a three-scene proof of concept.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360"/>
        </w:tabs>
        <w:ind w:left="720" w:hanging="360"/>
        <w:spacing w:before="0" w:after="80" w:line="276" w:lineRule="auto"/>
      </w:pPr>
    </w:lvl>
  </w:abstractNum>
  <w:abstractNum w:abstractNumId="1">
    <w:nsid w:val="FFFFFF7D"/>
    <w:multiLevelType w:val="singleLevel"/>
    <w:tmpl w:val="E4089024"/>
    <w:lvl w:ilvl="0">
      <w:start w:val="1"/>
      <w:numFmt w:val="decimal"/>
      <w:lvlText w:val="%1."/>
      <w:lvlJc w:val="left"/>
      <w:pPr>
        <w:tabs>
          <w:tab w:val="num" w:pos="360"/>
        </w:tabs>
        <w:ind w:left="720" w:hanging="360"/>
        <w:spacing w:before="0" w:after="80" w:line="276" w:lineRule="auto"/>
      </w:pPr>
    </w:lvl>
  </w:abstractNum>
  <w:abstractNum w:abstractNumId="2">
    <w:nsid w:val="FFFFFF7E"/>
    <w:multiLevelType w:val="singleLevel"/>
    <w:tmpl w:val="FB12693A"/>
    <w:lvl w:ilvl="0">
      <w:start w:val="1"/>
      <w:numFmt w:val="decimal"/>
      <w:pStyle w:val="ListNumber3"/>
      <w:lvlText w:val="%1."/>
      <w:lvlJc w:val="left"/>
      <w:pPr>
        <w:tabs>
          <w:tab w:val="num" w:pos="360"/>
        </w:tabs>
        <w:ind w:left="720" w:hanging="360"/>
        <w:spacing w:before="0" w:after="80" w:line="276" w:lineRule="auto"/>
      </w:pPr>
    </w:lvl>
  </w:abstractNum>
  <w:abstractNum w:abstractNumId="3">
    <w:nsid w:val="FFFFFF7F"/>
    <w:multiLevelType w:val="singleLevel"/>
    <w:tmpl w:val="38441652"/>
    <w:lvl w:ilvl="0">
      <w:start w:val="1"/>
      <w:numFmt w:val="decimal"/>
      <w:pStyle w:val="ListNumber2"/>
      <w:lvlText w:val="%1."/>
      <w:lvlJc w:val="left"/>
      <w:pPr>
        <w:tabs>
          <w:tab w:val="num" w:pos="360"/>
        </w:tabs>
        <w:ind w:left="720" w:hanging="360"/>
        <w:spacing w:before="0" w:after="80" w:line="276" w:lineRule="auto"/>
      </w:pPr>
    </w:lvl>
  </w:abstractNum>
  <w:abstractNum w:abstractNumId="4">
    <w:nsid w:val="FFFFFF81"/>
    <w:multiLevelType w:val="singleLevel"/>
    <w:tmpl w:val="171AC3A4"/>
    <w:lvl w:ilvl="0">
      <w:start w:val="1"/>
      <w:numFmt w:val="bullet"/>
      <w:lvlText w:val=""/>
      <w:lvlJc w:val="left"/>
      <w:pPr>
        <w:tabs>
          <w:tab w:val="num" w:pos="360"/>
        </w:tabs>
        <w:ind w:left="720" w:hanging="360"/>
        <w:spacing w:before="0" w:after="80" w:line="276" w:lineRule="auto"/>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360"/>
        </w:tabs>
        <w:ind w:left="720" w:hanging="360"/>
        <w:spacing w:before="0" w:after="80" w:line="276" w:lineRule="auto"/>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360"/>
        </w:tabs>
        <w:ind w:left="720" w:hanging="360"/>
        <w:spacing w:before="0" w:after="80" w:line="276" w:lineRule="auto"/>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720" w:hanging="360"/>
        <w:spacing w:before="0" w:after="80" w:line="276" w:lineRule="auto"/>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spacing w:before="0" w:after="80" w:line="276"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pageBreakBefore w:val="0"/>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yer.vimeo.com/video/1063365119" TargetMode="External"/><Relationship Id="rId10" Type="http://schemas.openxmlformats.org/officeDocument/2006/relationships/hyperlink" Target="https://ministriesofpastoralcare.com/wp-content/uploads/2023/08/2023-CS-Wednesday-Session-4.mp3" TargetMode="External"/><Relationship Id="rId11" Type="http://schemas.openxmlformats.org/officeDocument/2006/relationships/hyperlink" Target="https://ministriesofpastoralcare.com/1262-2/" TargetMode="External"/><Relationship Id="rId12" Type="http://schemas.openxmlformats.org/officeDocument/2006/relationships/hyperlink" Target="https://player.vimeo.com/video/1092590147" TargetMode="External"/><Relationship Id="rId13" Type="http://schemas.openxmlformats.org/officeDocument/2006/relationships/hyperlink" Target="https://player.vimeo.com/video/1063367890" TargetMode="External"/><Relationship Id="rId14" Type="http://schemas.openxmlformats.org/officeDocument/2006/relationships/hyperlink" Target="https://ministriesofpastoralcare.com/virtue-of-hope-i-humble-homo-vi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Juicy Chastity Fiction Lab — Project Brief and Source Architecture</dc:title>
  <dc:subject>Scope, story architecture, source organization, production system, and safeguards</dc:subject>
  <dc:creator>Project team</dc:creator>
  <cp:keywords>adult fiction, chastity, psychotechnology, Christian spirituality, AI-assisted writing</cp:keywords>
  <dc:description>generated by python-docx</dc:description>
  <cp:lastModifiedBy/>
  <cp:revision>1</cp:revision>
  <dcterms:created xsi:type="dcterms:W3CDTF">2013-12-23T23:15:00Z</dcterms:created>
  <dcterms:modified xsi:type="dcterms:W3CDTF">2013-12-23T23:15:00Z</dcterms:modified>
  <cp:category/>
</cp:coreProperties>
</file>