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Source Card Deck</w:t>
      </w:r>
    </w:p>
    <w:p>
      <w:pPr>
        <w:spacing w:after="160"/>
      </w:pPr>
      <w:r>
        <w:rPr>
          <w:b/>
          <w:color w:val="C89B3C"/>
          <w:sz w:val="21"/>
        </w:rPr>
        <w:t>Week 1 • 20 MPC canon anchors + 10 Leverage/social-influence case dynamics • v0.1</w:t>
      </w:r>
    </w:p>
    <w:p>
      <w:pPr>
        <w:spacing w:after="160"/>
        <w:pBdr>
          <w:bottom w:val="single" w:sz="14" w:space="1" w:color="C89B3C"/>
        </w:pBdr>
      </w:pPr>
    </w:p>
    <w:p>
      <w:pPr>
        <w:spacing w:after="160"/>
      </w:pPr>
      <w:r>
        <w:rPr>
          <w:i/>
          <w:color w:val="566574"/>
        </w:rPr>
        <w:t>These cards turn the source library into scene-ready material. MPC cards define the project’s positive theology and practice; case-dynamic cards supply institutional pressure, uncanny social perception, and epistemic conflict.</w:t>
      </w:r>
    </w:p>
    <w:p>
      <w:pPr>
        <w:pStyle w:val="Heading1"/>
      </w:pPr>
      <w:r>
        <w:t>How to use the deck</w:t>
      </w:r>
    </w:p>
    <w:p>
      <w:pPr>
        <w:pStyle w:val="ListBullet"/>
        <w:spacing w:after="40"/>
      </w:pPr>
      <w:r>
        <w:t>Retrieve 2–4 MPC cards and 1–2 case-dynamic cards for a scene.</w:t>
      </w:r>
    </w:p>
    <w:p>
      <w:pPr>
        <w:pStyle w:val="ListBullet"/>
        <w:spacing w:after="40"/>
      </w:pPr>
      <w:r>
        <w:t>Write the scene’s observable event before choosing its explanation.</w:t>
      </w:r>
    </w:p>
    <w:p>
      <w:pPr>
        <w:pStyle w:val="ListBullet"/>
        <w:spacing w:after="40"/>
      </w:pPr>
      <w:r>
        <w:t>Make the teaching causal: a practice changes what a character can perceive, choose, or repair.</w:t>
      </w:r>
    </w:p>
    <w:p>
      <w:pPr>
        <w:pStyle w:val="ListBullet"/>
        <w:spacing w:after="40"/>
      </w:pPr>
      <w:r>
        <w:t>Record every fictional transformation in the transformation log.</w:t>
      </w:r>
    </w:p>
    <w:p>
      <w:pPr>
        <w:pStyle w:val="Heading1"/>
      </w:pPr>
      <w:r>
        <w:t>A. MPC theological and practice cards</w:t>
      </w:r>
    </w:p>
    <w:p>
      <w:pPr>
        <w:pStyle w:val="Heading2"/>
        <w:keepNext/>
      </w:pPr>
      <w:r>
        <w:t>MPC-01 — Chastity integrates desire toward love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Chastity gathers the sexual drive and passions into whole-person love; it makes the other visible as a person rather than an object.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An almost-kiss becomes more intimate when Mara stops scanning for status and actually sees Jonah’s fatigue, restraint, and delight.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Satisfied in God, VA Beach, Nov 2025 — Session 4 • mpc-74e7842c6f30540d8f5a-b000036 • </w:t>
            </w:r>
            <w:hyperlink r:id="rId10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MPC-02 — The riverbanks, not the dam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Chastity is not suppression or mere restraint; it gives desire direction, like banks giving form to a stream.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mentor rejects Mara’s attempt to become numb and instead asks what her desire is trying to move toward.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mpc-ca29b10298b40cbb4106-b000072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MPC-03 — Interior room around arousal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Ordered desire reduces inner tension and creates enough space to notice experience before choosing.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In a charged hallway, Mara feels the sensation, names it without panic, and decides rather than recoiling or lunging.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mpc-ca29b10298b40cbb4106-b000073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MPC-04 — The beat before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small pause makes thought, dream, urge, and bodily sensation available to judgment instead of command.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The protagonist’s decisive victory is a three-second pause that breaks a socially engineered tempo.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mpc-ca29b10298b40cbb4106-b000074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MPC-05 — Purity sharpens sensual perception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Chastity is presented as a condition for perceiving sensual beauty clearly, not as a flight from beauty.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The prose lingers on hands, breath, fabric, and the beloved’s body precisely when the characters choose restraint.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mpc-ca29b10298b40cbb4106-b000076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MPC-06 — Whole-person affection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Integrated desire intensifies affection because delight is no longer split between appetite and personhood.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scene after refusal grows warmer, funnier, and more playful instead of collapsing into punishment or sulking.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mpc-ca29b10298b40cbb4106-b000077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MPC-07 — Reverent fascination in singleness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Unmarried attraction can become skilled care, honor, and fascination rather than pseudo-marital entitlement.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Jonah’s courtship is compelling because his attention increases Mara’s freedom and competence.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mpc-ca29b10298b40cbb4106-b000078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MPC-08 — Desire must be discerned, even within commitment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Relationship status does not sanctify every impulse; love still asks where desire came from and what it will do to the other.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married secondary couple provides the mature counterpoint to Fulcrum’s doctrine that consent makes every appetite wise.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mpc-ca29b10298b40cbb4106-b000079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MPC-09 — Ask whether the desire is good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Desire is evaluated by love, goodness, timing, and honor; a no can let a provoked impulse fade without denying erotic life.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Mara distinguishes wanting Jonah from wanting to use Jonah to repair humiliation after a public loss.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mpc-ca29b10298b40cbb4106-b000080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MPC-10 — Holiness as fascination, not sterility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The prayed-for fruit is a pure, reverent fascination for the other—not indifference.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Prayer does not cool the romantic current; it makes the characters’ attention less grasping and more exact.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2023 CS Wednesday — Session 4 • mpc-ca29b10298b40cbb4106-b000138 • </w:t>
            </w:r>
            <w:hyperlink r:id="rId1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MPC-11 — Authority that does not override the will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Divine authority is described as honoring the human capacity to choose rather than coercing, manipulating, or overriding it.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Miriam proves spiritual authority by defending Mara’s no when institutional leaders call refusal evidence of a block.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Satisfied in God, VA Beach, Nov 2025 — Session 4 • mpc-74e7842c6f30540d8f5a-b000019 • </w:t>
            </w:r>
            <w:hyperlink r:id="rId10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MPC-12 — Contemplate or exploit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When identity and blessing are demanded from another person, care itself can become an instrument of control.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Fulcrum facilitator offers eerily perfect care that quietly makes dissent feel like betrayal.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Satisfied in God, VA Beach, Nov 2025 — Session 4 • mpc-74e7842c6f30540d8f5a-b000043 • </w:t>
            </w:r>
            <w:hyperlink r:id="rId10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MPC-13 — Right speech is born from silence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Silence is an active complement to speech and a condition for language that is awake, loving, and true.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Mara wins a verbal contest by refusing the offered frame, waiting, and asking one clean question.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For Talking Beasts: Begin with Silence • mpc-e351064b2f36ff9d0268-b000018 • </w:t>
            </w:r>
            <w:hyperlink r:id="rId12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MPC-14 — Silence gathers the self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Silence functions as a gathering-up space where received words can be tested before they become action.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dorm-room silence lets Mara notice which accusation is hers, which belongs to the group, and which remains unknown.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For Talking Beasts: Begin with Silence • mpc-e351064b2f36ff9d0268-b000020 • </w:t>
            </w:r>
            <w:hyperlink r:id="rId12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MPC-15 — Self-acceptance breaks the internal scoreboard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Receiving identity from divine love displaces narrow, demanding self-measurement and makes growth possible.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Mara stops treating beauty, virginity, cleverness, and male attention as a composite score she must defend.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The Virtue of Self-Acceptance • mpc-067f9754337dc1aac057-b000006 • </w:t>
            </w:r>
            <w:hyperlink r:id="rId13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MPC-16 — Forgiveness enables self-forgiveness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Mercy received deeply becomes courageous self-acceptance rather than excuse-making.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After a real mistake, Mara admits it before the rival can weaponize it, repairs the harm, and remains upright.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The Virtue of Self-Acceptance • mpc-067f9754337dc1aac057-b000008 • </w:t>
            </w:r>
            <w:hyperlink r:id="rId13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MPC-17 — Repentance includes boundaries and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Confession becomes credible through changed conduct, appropriate boundaries, and concrete transformation.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An apology fails until the apologizer surrenders access, accepts witnesses, and changes the procedure.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Living the Miracle — Session 6 • mpc-058965c04810cdb4a0d6-b000024 • </w:t>
            </w:r>
            <w:hyperlink r:id="rId14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MPC-18 — Restoration is not rewind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True restoration creates a transformed relationship; it does not merely return people to the conditions that produced harm.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The resolution preserves mercy while ending the old Fulcrum intimacy regime.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Living the Miracle — Session 6 • mpc-058965c04810cdb4a0d6-b000025 • </w:t>
            </w:r>
            <w:hyperlink r:id="rId14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MPC-19 — Forgiveness and reconciliation are distinct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Forgiveness does not require renewed proximity; collapsing it into reconciliation can keep a person trapped in dysfunction.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Mara forgives a betrayer without restoring private access, preserving both tenderness and exit rights.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Forgiveness, the Currency of Relationship — Session 6 • mpc-b3a5e007a6b8809f9ebc-b000020 • </w:t>
            </w:r>
            <w:hyperlink r:id="rId15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MPC-20 — Discernment without paranoia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CANON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Mature discernment seeks truth without paranoia and resists deception without becoming hostile.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The climax turns on Mara keeping multiple explanations live long enough to gather witnesses and records.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The Gospel According to Christ • mpc-404d637e0d451d2b2e1b-b000006 • </w:t>
            </w:r>
            <w:hyperlink r:id="rId16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sectPr>
          <w:footerReference w:type="default" r:id="rId9"/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B. Leverage and social-influence case-dynamic cards</w:t>
      </w:r>
    </w:p>
    <w:p>
      <w:pPr>
        <w:pStyle w:val="Heading2"/>
        <w:keepNext/>
      </w:pPr>
      <w:r>
        <w:t>LEV-01 — Apparent telepathy from involuntary cues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SECONDARY / CASE FILE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Tiny tactile, postural, vocal, and visual signals can carry more information than participants consciously notice, producing feats that feel paranormal.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Fulcrum students locate a hidden object through a calibration game; Mara experiences the reader as inside her mind.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Use new tasks, composite researchers, and an adult fellowship. Preserve only the cue-channel mechanism and felt eeriness.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The Muscle-Readers, a Historical Sketch • </w:t>
            </w:r>
            <w:hyperlink r:id="rId17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LEV-02 — Controls collapse the miracle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SECONDARY / CASE FILE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Performance can remain impressive until the relevant information channel is isolated; randomization and cue controls distinguish skill from story.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Mara silently changes the rules of a demonstration and watches an oracle become merely talented.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Invent the protocol and result. Keep the epistemic turn: a mundane mechanism need not make the experience emotionally mundane.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The Muscle-Readers, a Historical Sketch • </w:t>
            </w:r>
            <w:hyperlink r:id="rId17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LEV-03 — Intention match and clash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PRIMARY METHOD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Holding an intention to tell the truth while speaking can produce felt ease, strain, resistance, or mismatch that practitioners treat as evidence about underlying belief.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facilitator asks Mara to repeat a claim until her body gives the approved answer; she later reclaims the exercise alone in prayer.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Change all prompts and actors. Treat the felt signal as data interpreted by characters, never as an infallible oracle.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How to Belief Report • </w:t>
            </w:r>
            <w:hyperlink r:id="rId18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LEV-04 — Physiology becomes testimony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PRIMARY METHOD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Blinking, hesitancy, fidgeting, smiles, tempo, and emphasis can be recruited as signs of an internal clash—especially by an observer.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charismatic reader narrates Mara’s micro-reactions faster than she can contest the interpretation.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The fictional danger comes from interpretive authority and pace, not from copying any real training script.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How to Belief Report • </w:t>
            </w:r>
            <w:hyperlink r:id="rId18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LEV-05 — Words select different inner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PRIMARY METHOD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Near-synonyms can evoke different concepts and bodily responses; a method can confuse word-choice effects with discovery of hidden truth.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single loaded word turns a neutral report into an apparent confession, and Mara exposes the switch.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Build a fresh vocabulary for Fulcrum and make semantic ambiguity part of the mystery.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How to Belief Report • </w:t>
            </w:r>
            <w:hyperlink r:id="rId18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LEV-06 — Intention steers 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SECONDARY / RESEARCH REPORT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Expectations about what will happen can act as an attentional lens, changing which threats, affordances, and interpretations become salient.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Two teams watch the same interaction under opposite predictions and leave with incompatible but internally coherent stories.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Use a fictional alignment exercise and let the divergence reshape alliances and romantic trust.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On Intention Research • </w:t>
            </w:r>
            <w:hyperlink r:id="rId19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LEV-07 — Introspection can become avoidance theater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SECONDARY / RESEARCH REPORT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On charged topics, people may change subjects, forget questions, generate spurious material, or shut down; the group may overinterpret this as proof of a hidden structure.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Mara’s exhaustion during a late-night session is redescribed as resistance, which authorizes a deeper intervention.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Composite the dynamic and keep several explanations alive: fatigue, shame, suggestion, strategy, trauma, or spiritual pressure.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On Intention Research • </w:t>
            </w:r>
            <w:hyperlink r:id="rId19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LEV-08 — Shared mental content is hard to adjudicate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SECONDARY / RESEARCH REPORT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Claims of shared content depend on skill judgments, blindspot theories, compatibility checks, confidence reads, and social context—each introducing new inference.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 three-person reading feels convergent until the transcript shows that each answer was subtly repaired after the fact.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Create fictional terminology and preserve the nested-inference structure as the scene’s reveal.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On Intention Research • </w:t>
            </w:r>
            <w:hyperlink r:id="rId19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LEV-09 — Sensitization changes the social world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WORKING THEORY / CASE FILE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Training can make subtle signals newly vivid while also creating runaway feedback, unpleasant information streams, and escalating suspicion.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After weeks of practice, the cohort cannot stop reading one another; every breath becomes evidence and ordinary friendship becomes exhausting.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Combine the research report with James’s three-practice stabilization model and invent the failure cascade.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On Intention Research; On Training Energy Awareness • </w:t>
            </w:r>
            <w:hyperlink r:id="rId20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p>
      <w:pPr>
        <w:pStyle w:val="Heading2"/>
        <w:keepNext/>
      </w:pPr>
      <w:r>
        <w:t>LEV-10 — Narrative warfare under charismatic asymmetry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PRIMARY TESTIMONY / CASE FILE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Extracted dynamic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World-saving urgency, teacher–student asymmetry, confession culture, rarity narratives, insularity, and pressure over personal interpretation can make the institution’s story outrank a member’s perception.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Dramatic use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Fulcrum does not forbid departure; it makes departure mean cowardice, epistemic failure, and abandonment of humanity.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/>
              <w:spacing w:after="30"/>
            </w:pPr>
            <w:r>
              <w:rPr>
                <w:rFonts w:ascii="Arial" w:hAnsi="Arial"/>
                <w:b/>
                <w:sz w:val="17"/>
              </w:rPr>
              <w:t>Transformation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30"/>
            </w:pPr>
            <w:r>
              <w:rPr>
                <w:rFonts w:ascii="Arial" w:hAnsi="Arial"/>
                <w:sz w:val="17"/>
              </w:rPr>
              <w:t>Recombine dynamics across sources into a new institution, chronology, leadership structure, and crisis. No real person maps one-to-one.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85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keepNext w:val="0"/>
              <w:spacing w:after="30"/>
            </w:pPr>
            <w:r>
              <w:rPr>
                <w:rFonts w:ascii="Arial" w:hAnsi="Arial"/>
                <w:sz w:val="17"/>
              </w:rPr>
              <w:t xml:space="preserve">My Experience with Leverage Research; Leverage 1.0 Postmortem Inquiry • </w:t>
            </w:r>
            <w:hyperlink r:id="rId21">
              <w:r>
                <w:rPr>
                  <w:color w:val="2F6690"/>
                  <w:u w:val="single"/>
                </w:rPr>
                <w:t>open source</w:t>
              </w:r>
            </w:hyperlink>
          </w:p>
        </w:tc>
      </w:tr>
    </w:tbl>
    <w:p/>
    <w:sectPr w:rsidR="00FC693F" w:rsidRPr="0006063C" w:rsidSect="00034616"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66574"/>
        <w:sz w:val="16"/>
      </w:rPr>
      <w:t>Juicy Chastity Fiction Lab  •  Working asset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A23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er.vimeo.com/video/1063365119" TargetMode="External"/><Relationship Id="rId11" Type="http://schemas.openxmlformats.org/officeDocument/2006/relationships/hyperlink" Target="https://ministriesofpastoralcare.com/wp-content/uploads/2023/08/2023-CS-Wednesday-Session-4.mp3" TargetMode="External"/><Relationship Id="rId12" Type="http://schemas.openxmlformats.org/officeDocument/2006/relationships/hyperlink" Target="https://ministriesofpastoralcare.com/1262-2/" TargetMode="External"/><Relationship Id="rId13" Type="http://schemas.openxmlformats.org/officeDocument/2006/relationships/hyperlink" Target="https://ministriesofpastoralcare.com/virtue-of-self-acceptance/" TargetMode="External"/><Relationship Id="rId14" Type="http://schemas.openxmlformats.org/officeDocument/2006/relationships/hyperlink" Target="https://player.vimeo.com/video/1079598195" TargetMode="External"/><Relationship Id="rId15" Type="http://schemas.openxmlformats.org/officeDocument/2006/relationships/hyperlink" Target="https://player.vimeo.com/video/1092329057" TargetMode="External"/><Relationship Id="rId16" Type="http://schemas.openxmlformats.org/officeDocument/2006/relationships/hyperlink" Target="https://ministriesofpastoralcare.com/the-gospel-according-to-christ/" TargetMode="External"/><Relationship Id="rId17" Type="http://schemas.openxmlformats.org/officeDocument/2006/relationships/hyperlink" Target="https://drive.google.com/file/d/1mDfNG-yT3md9S8PWCk3Fu1rSnE0CL1o3/view" TargetMode="External"/><Relationship Id="rId18" Type="http://schemas.openxmlformats.org/officeDocument/2006/relationships/hyperlink" Target="https://drive.google.com/file/d/1og1SQS6oFjYGFLevQ-4DS_0aCAaqmAv9/view" TargetMode="External"/><Relationship Id="rId19" Type="http://schemas.openxmlformats.org/officeDocument/2006/relationships/hyperlink" Target="https://drive.google.com/file/d/1HEfbkt1ppsejsrB1oXevjvHnTUcGLmkh/view" TargetMode="External"/><Relationship Id="rId20" Type="http://schemas.openxmlformats.org/officeDocument/2006/relationships/hyperlink" Target="https://docs.google.com/document/d/1GCf0XSom_6m09gaYpWqjWtvruwGo_oseGQw0Es2t10s/edit" TargetMode="External"/><Relationship Id="rId21" Type="http://schemas.openxmlformats.org/officeDocument/2006/relationships/hyperlink" Target="https://docs.google.com/document/d/1M4JzeGEaaUyf7Fzl4hi342kwtOHwYGK45WW0RSqjq80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