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Story Canon Ledger</w:t>
      </w:r>
    </w:p>
    <w:p>
      <w:pPr>
        <w:spacing w:after="160"/>
      </w:pPr>
      <w:r>
        <w:rPr>
          <w:b/>
          <w:color w:val="C89B3C"/>
          <w:sz w:val="21"/>
        </w:rPr>
        <w:t>Fulcrum pilot • Working continuity, metaphysics, cast, romance, and practice rules • v0.1</w:t>
      </w:r>
    </w:p>
    <w:p>
      <w:pPr>
        <w:spacing w:after="160"/>
        <w:pBdr>
          <w:bottom w:val="single" w:sz="14" w:space="1" w:color="C89B3C"/>
        </w:pBdr>
      </w:pPr>
    </w:p>
    <w:p>
      <w:pPr>
        <w:spacing w:after="160"/>
      </w:pPr>
      <w:r>
        <w:rPr>
          <w:i/>
          <w:color w:val="566574"/>
        </w:rPr>
        <w:t>The ledger separates locked story law from working invention and open choices. It is meant to be updated after every accepted scene.</w:t>
      </w:r>
    </w:p>
    <w:p>
      <w:pPr>
        <w:pStyle w:val="Heading1"/>
      </w:pPr>
      <w:r>
        <w:t>1. Status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LOCKED</w:t>
            </w:r>
          </w:p>
        </w:tc>
        <w:tc>
          <w:tcPr>
            <w:tcW w:type="dxa" w:w="84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Established by the approved v0.3 brief; scenes may elaborate but not contradict.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WORKING</w:t>
            </w:r>
          </w:p>
        </w:tc>
        <w:tc>
          <w:tcPr>
            <w:tcW w:type="dxa" w:w="84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Current best choice for drafting; change through an explicit canon decision.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OPEN</w:t>
            </w:r>
          </w:p>
        </w:tc>
        <w:tc>
          <w:tcPr>
            <w:tcW w:type="dxa" w:w="84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Deliberately undecided; candidate scenes may test alternatives.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REVEAL</w:t>
            </w:r>
          </w:p>
        </w:tc>
        <w:tc>
          <w:tcPr>
            <w:tcW w:type="dxa" w:w="84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True in the storyworld but withheld from readers or characters until a named beat.</w:t>
            </w:r>
          </w:p>
        </w:tc>
      </w:tr>
    </w:tbl>
    <w:p>
      <w:pPr>
        <w:pStyle w:val="Heading1"/>
      </w:pPr>
      <w:r>
        <w:t>2. Core story law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11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71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Canon statement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LOCKED</w:t>
            </w:r>
          </w:p>
        </w:tc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Format</w:t>
            </w:r>
          </w:p>
        </w:tc>
        <w:tc>
          <w:tcPr>
            <w:tcW w:type="dxa" w:w="71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Adult new-adult romantic supernatural-tech thriller; 80,000–100,000 words if the pilot succeeds.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LOCKED</w:t>
            </w:r>
          </w:p>
        </w:tc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Setting</w:t>
            </w:r>
          </w:p>
        </w:tc>
        <w:tc>
          <w:tcPr>
            <w:tcW w:type="dxa" w:w="71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Fulcrum is a postsecondary residential fellowship for early-twenties technology heirs, protégés, and unusually promising outsiders.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LOCKED</w:t>
            </w:r>
          </w:p>
        </w:tc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Institutional engine</w:t>
            </w:r>
          </w:p>
        </w:tc>
        <w:tc>
          <w:tcPr>
            <w:tcW w:type="dxa" w:w="71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Members try to solve alignment in machines and then in themselves; secrecy, urgency, charismatic asymmetry, and epistemic overreach turn good intentions dangerous.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LOCKED</w:t>
            </w:r>
          </w:p>
        </w:tc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Christian claim</w:t>
            </w:r>
          </w:p>
        </w:tc>
        <w:tc>
          <w:tcPr>
            <w:tcW w:type="dxa" w:w="71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Chastity integrates desire into attention, agency, love, prayer, delight, confession, and sound judgment.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LOCKED</w:t>
            </w:r>
          </w:p>
        </w:tc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Romantic engine</w:t>
            </w:r>
          </w:p>
        </w:tc>
        <w:tc>
          <w:tcPr>
            <w:tcW w:type="dxa" w:w="71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Heat rises through attention, anticipation, mutual perception, humor, and freely chosen limits.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LOCKED</w:t>
            </w:r>
          </w:p>
        </w:tc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Ending move</w:t>
            </w:r>
          </w:p>
        </w:tc>
        <w:tc>
          <w:tcPr>
            <w:tcW w:type="dxa" w:w="71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Mara wins by creating conditions for truth: witnesses, records, consent, exit rights, confession, mercy, and one public act no faction fully explains.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WORKING</w:t>
            </w:r>
          </w:p>
        </w:tc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Heat ceiling</w:t>
            </w:r>
          </w:p>
        </w:tc>
        <w:tc>
          <w:tcPr>
            <w:tcW w:type="dxa" w:w="71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Maximum on-page erotic charge without graphic sex acts or genital description; the pilot’s central couple does not consummate.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WORKING</w:t>
            </w:r>
          </w:p>
        </w:tc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Time and place</w:t>
            </w:r>
          </w:p>
        </w:tc>
        <w:tc>
          <w:tcPr>
            <w:tcW w:type="dxa" w:w="71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Near-future Northern California, across one ten-week Fulcrum term.</w:t>
            </w:r>
          </w:p>
        </w:tc>
      </w:tr>
    </w:tbl>
    <w:p>
      <w:pPr>
        <w:pStyle w:val="Heading1"/>
      </w:pPr>
      <w:r>
        <w:t>3. Dramatic epistemology</w:t>
      </w:r>
    </w:p>
    <w:p>
      <w:pPr>
        <w:pStyle w:val="ListBullet"/>
        <w:spacing w:after="40"/>
      </w:pPr>
      <w:r>
        <w:t>Every uncanny beat has three layers: observation, character interpretation, and underlying mechanism.</w:t>
      </w:r>
    </w:p>
    <w:p>
      <w:pPr>
        <w:pStyle w:val="ListBullet"/>
        <w:spacing w:after="40"/>
      </w:pPr>
      <w:r>
        <w:t>At least two materially different explanations remain live through the midpoint.</w:t>
      </w:r>
    </w:p>
    <w:p>
      <w:pPr>
        <w:pStyle w:val="ListBullet"/>
        <w:spacing w:after="40"/>
      </w:pPr>
      <w:r>
        <w:t>Body-reading is real as high-resolution social perception; its scope and supernatural remainder remain contested.</w:t>
      </w:r>
    </w:p>
    <w:p>
      <w:pPr>
        <w:pStyle w:val="ListBullet"/>
        <w:spacing w:after="40"/>
      </w:pPr>
      <w:r>
        <w:t>Prayer can produce courage, clarity, timing, and unexpected events. The narration shows effects before assigning metaphysics.</w:t>
      </w:r>
    </w:p>
    <w:p>
      <w:pPr>
        <w:pStyle w:val="ListBullet"/>
        <w:spacing w:after="40"/>
      </w:pPr>
      <w:r>
        <w:t>Testimony remains character-bound: sincere does not mean complete; mistaken does not mean worthless.</w:t>
      </w:r>
    </w:p>
    <w:p>
      <w:pPr>
        <w:pStyle w:val="ListBullet"/>
        <w:spacing w:after="40"/>
      </w:pPr>
      <w:r>
        <w:t>No faction owns the vocabulary of reality. Vocabulary changes what characters notice and which actions become available.</w:t>
      </w:r>
    </w:p>
    <w:p>
      <w:pPr>
        <w:pStyle w:val="ListBullet"/>
        <w:spacing w:after="40"/>
      </w:pPr>
      <w:r>
        <w:t>The final public act permits a Christian reading that is causally potent without forcing every witness into the same account.</w:t>
      </w:r>
    </w:p>
    <w:p>
      <w:pPr>
        <w:pStyle w:val="Heading1"/>
      </w:pPr>
      <w:r>
        <w:t>4. Working cast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cantSplit/>
        </w:trPr>
        <w:tc>
          <w:tcPr>
            <w:tcW w:type="dxa" w:w="9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5"/>
              </w:rPr>
              <w:t>Character</w:t>
            </w:r>
          </w:p>
        </w:tc>
        <w:tc>
          <w:tcPr>
            <w:tcW w:type="dxa" w:w="13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5"/>
              </w:rPr>
              <w:t>Function</w:t>
            </w:r>
          </w:p>
        </w:tc>
        <w:tc>
          <w:tcPr>
            <w:tcW w:type="dxa" w:w="25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5"/>
              </w:rPr>
              <w:t>Charge</w:t>
            </w:r>
          </w:p>
        </w:tc>
        <w:tc>
          <w:tcPr>
            <w:tcW w:type="dxa" w:w="25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5"/>
              </w:rPr>
              <w:t>Arc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5"/>
              </w:rPr>
              <w:t>False belief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WORKING</w:t>
            </w:r>
          </w:p>
        </w:tc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Mara Vale, 22</w:t>
            </w:r>
          </w:p>
        </w:tc>
        <w:tc>
          <w:tcPr>
            <w:tcW w:type="dxa" w:w="13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Protagonist</w:t>
            </w:r>
          </w:p>
        </w:tc>
        <w:tc>
          <w:tcPr>
            <w:tcW w:type="dxa" w:w="25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Sheltered, formidable, observant; evangelical formation with sacramental hunger.</w:t>
            </w:r>
          </w:p>
        </w:tc>
        <w:tc>
          <w:tcPr>
            <w:tcW w:type="dxa" w:w="25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Borrowed virtue becomes embodied conviction.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Mistakes perfect self-control for holiness and thinks visible uncertainty forfeits authority.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WORKING</w:t>
            </w:r>
          </w:p>
        </w:tc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Jonah Reed, 24</w:t>
            </w:r>
          </w:p>
        </w:tc>
        <w:tc>
          <w:tcPr>
            <w:tcW w:type="dxa" w:w="13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Romantic counterpart</w:t>
            </w:r>
          </w:p>
        </w:tc>
        <w:tc>
          <w:tcPr>
            <w:tcW w:type="dxa" w:w="25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Hardware security researcher; playful, patient, socially fluent without being socially owned.</w:t>
            </w:r>
          </w:p>
        </w:tc>
        <w:tc>
          <w:tcPr>
            <w:tcW w:type="dxa" w:w="25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Learns that protecting Mara’s freedom requires public cost, not private niceness.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Believes he can stay clean by remaining unofficial and ironic.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WORKING</w:t>
            </w:r>
          </w:p>
        </w:tc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Livia Sloane, 23</w:t>
            </w:r>
          </w:p>
        </w:tc>
        <w:tc>
          <w:tcPr>
            <w:tcW w:type="dxa" w:w="13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Friend-rival</w:t>
            </w:r>
          </w:p>
        </w:tc>
        <w:tc>
          <w:tcPr>
            <w:tcW w:type="dxa" w:w="25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Sensuous, brilliant, wounded; Fulcrum’s most gifted attention reader.</w:t>
            </w:r>
          </w:p>
        </w:tc>
        <w:tc>
          <w:tcPr>
            <w:tcW w:type="dxa" w:w="25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Moves from social command toward costly truth, with redemption left genuinely available.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Equates being able to move people with being able to love them.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WORKING</w:t>
            </w:r>
          </w:p>
        </w:tc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Dr. Miriam Holt, 46</w:t>
            </w:r>
          </w:p>
        </w:tc>
        <w:tc>
          <w:tcPr>
            <w:tcW w:type="dxa" w:w="13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Mentor</w:t>
            </w:r>
          </w:p>
        </w:tc>
        <w:tc>
          <w:tcPr>
            <w:tcW w:type="dxa" w:w="25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Clinician and prayer minister adjacent to Fulcrum, unimpressed by its glamour.</w:t>
            </w:r>
          </w:p>
        </w:tc>
        <w:tc>
          <w:tcPr>
            <w:tcW w:type="dxa" w:w="25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Models authority through humility, precision, and protected refusal.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Carries an old failure that makes her slow to intervene publicly.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WORKING</w:t>
            </w:r>
          </w:p>
        </w:tc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Adrian Voss, 38</w:t>
            </w:r>
          </w:p>
        </w:tc>
        <w:tc>
          <w:tcPr>
            <w:tcW w:type="dxa" w:w="13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Institutional face</w:t>
            </w:r>
          </w:p>
        </w:tc>
        <w:tc>
          <w:tcPr>
            <w:tcW w:type="dxa" w:w="25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Founder-theorist who makes every crisis legible inside Fulcrum’s system.</w:t>
            </w:r>
          </w:p>
        </w:tc>
        <w:tc>
          <w:tcPr>
            <w:tcW w:type="dxa" w:w="25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Must choose between preserving the world-saving narrative and telling the truth.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Believes a sufficiently complete model makes coercion unnecessary—and therefore cannot see his own coercion.</w:t>
            </w:r>
          </w:p>
        </w:tc>
      </w:tr>
    </w:tbl>
    <w:p>
      <w:pPr>
        <w:pStyle w:val="Heading1"/>
      </w:pPr>
      <w:r>
        <w:t>5. Fulcrum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216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System element</w:t>
            </w:r>
          </w:p>
        </w:tc>
        <w:tc>
          <w:tcPr>
            <w:tcW w:type="dxa" w:w="80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Working canon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Public mission</w:t>
            </w:r>
          </w:p>
        </w:tc>
        <w:tc>
          <w:tcPr>
            <w:tcW w:type="dxa" w:w="80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Build technical and psychological alignment tools capable of surviving civilizational pressure.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Recruitment promise</w:t>
            </w:r>
          </w:p>
        </w:tc>
        <w:tc>
          <w:tcPr>
            <w:tcW w:type="dxa" w:w="80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You are unusually good, unusually needed, and finally among people who can see the whole of you.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Core practices</w:t>
            </w:r>
          </w:p>
        </w:tc>
        <w:tc>
          <w:tcPr>
            <w:tcW w:type="dxa" w:w="80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Calibration games; belief reports; charting; paired attention work; all-night salons; alignment vigils; confession-like debriefs.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Status currency</w:t>
            </w:r>
          </w:p>
        </w:tc>
        <w:tc>
          <w:tcPr>
            <w:tcW w:type="dxa" w:w="80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Access to the founder, accuracy in reading others, emotional transparency, tolerance for intensity, and visible sacrifice for the mission.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Soft enforcement</w:t>
            </w:r>
          </w:p>
        </w:tc>
        <w:tc>
          <w:tcPr>
            <w:tcW w:type="dxa" w:w="80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Departure is reframed as fear, resistance, hidden misalignment, or abandonment of humanity.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Material vulnerability</w:t>
            </w:r>
          </w:p>
        </w:tc>
        <w:tc>
          <w:tcPr>
            <w:tcW w:type="dxa" w:w="80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Housing, work, romance, reputation, and friendship overlap inside one dense network.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Counter-power</w:t>
            </w:r>
          </w:p>
        </w:tc>
        <w:tc>
          <w:tcPr>
            <w:tcW w:type="dxa" w:w="80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Records, witnesses, outside friendships, prayer, sleep, ordinary work, denominational plurality, and the protected right to leave.</w:t>
            </w:r>
          </w:p>
        </w:tc>
      </w:tr>
    </w:tbl>
    <w:p>
      <w:pPr>
        <w:pStyle w:val="Heading1"/>
      </w:pPr>
      <w:r>
        <w:t>6. Romance invariants</w:t>
      </w:r>
    </w:p>
    <w:p>
      <w:pPr>
        <w:pStyle w:val="ListBullet"/>
        <w:spacing w:after="40"/>
      </w:pPr>
      <w:r>
        <w:t>Neither lead uses arousal as a debt, a test of loyalty, or proof of spiritual maturity.</w:t>
      </w:r>
    </w:p>
    <w:p>
      <w:pPr>
        <w:pStyle w:val="ListBullet"/>
        <w:spacing w:after="40"/>
      </w:pPr>
      <w:r>
        <w:t>A stated limit increases sensory and interpersonal specificity in the prose.</w:t>
      </w:r>
    </w:p>
    <w:p>
      <w:pPr>
        <w:pStyle w:val="ListBullet"/>
        <w:spacing w:after="40"/>
      </w:pPr>
      <w:r>
        <w:t>Jonah’s attractiveness depends on his capacity to wait, attend, apologize, protect boundaries, and stay playful.</w:t>
      </w:r>
    </w:p>
    <w:p>
      <w:pPr>
        <w:pStyle w:val="ListBullet"/>
        <w:spacing w:after="40"/>
      </w:pPr>
      <w:r>
        <w:t>Mara’s chastity is active competence: she can perceive desire, enjoy it, speak clearly, and choose timing.</w:t>
      </w:r>
    </w:p>
    <w:p>
      <w:pPr>
        <w:pStyle w:val="ListBullet"/>
        <w:spacing w:after="40"/>
      </w:pPr>
      <w:r>
        <w:t>The central romantic ordeal forces both characters to prefer the other’s freedom over possession, certainty, status, or climax.</w:t>
      </w:r>
    </w:p>
    <w:p>
      <w:pPr>
        <w:pStyle w:val="ListBullet"/>
        <w:spacing w:after="40"/>
      </w:pPr>
      <w:r>
        <w:t>Their first true intimacy is a successful repair after one of them causes real harm.</w:t>
      </w:r>
    </w:p>
    <w:p>
      <w:pPr>
        <w:pStyle w:val="Heading1"/>
      </w:pPr>
      <w:r>
        <w:t>7. Portable practices that may enter scenes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Practice</w:t>
            </w:r>
          </w:p>
        </w:tc>
        <w:tc>
          <w:tcPr>
            <w:tcW w:type="dxa" w:w="79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6"/>
              </w:rPr>
              <w:t>Dramatic action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The three-second beat</w:t>
            </w:r>
          </w:p>
        </w:tc>
        <w:tc>
          <w:tcPr>
            <w:tcW w:type="dxa" w:w="79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Notice sensation, breath once, name the offered frame, then choose.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One clean question</w:t>
            </w:r>
          </w:p>
        </w:tc>
        <w:tc>
          <w:tcPr>
            <w:tcW w:type="dxa" w:w="79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Stop defending; ask the question the other person’s frame is designed to prevent.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Witness before interpretation</w:t>
            </w:r>
          </w:p>
        </w:tc>
        <w:tc>
          <w:tcPr>
            <w:tcW w:type="dxa" w:w="79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Record what was said, who was present, and what changed before naming the mechanism.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Prayerful reorientation</w:t>
            </w:r>
          </w:p>
        </w:tc>
        <w:tc>
          <w:tcPr>
            <w:tcW w:type="dxa" w:w="79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Return attention to God, receive identity, and ask what loving action is possible now.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Fast confession</w:t>
            </w:r>
          </w:p>
        </w:tc>
        <w:tc>
          <w:tcPr>
            <w:tcW w:type="dxa" w:w="79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Name the act and harm without turning the explanation into self-exoneration.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Mercy with structure</w:t>
            </w:r>
          </w:p>
        </w:tc>
        <w:tc>
          <w:tcPr>
            <w:tcW w:type="dxa" w:w="79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EDF3F7"/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Forgive while setting access, witness, timing, and restitution conditions appropriate to reality.</w:t>
            </w:r>
          </w:p>
        </w:tc>
      </w:tr>
    </w:tbl>
    <w:p>
      <w:pPr>
        <w:pStyle w:val="Heading1"/>
      </w:pPr>
      <w:r>
        <w:t>8. Open decisions</w:t>
      </w:r>
    </w:p>
    <w:p>
      <w:pPr>
        <w:pStyle w:val="ListBullet"/>
        <w:spacing w:after="40"/>
      </w:pPr>
      <w:r>
        <w:t>Whether Fulcrum remains the final name.</w:t>
      </w:r>
    </w:p>
    <w:p>
      <w:pPr>
        <w:pStyle w:val="ListBullet"/>
        <w:spacing w:after="40"/>
      </w:pPr>
      <w:r>
        <w:t>Mara’s exact denomination, family structure, and reason for accepting the fellowship.</w:t>
      </w:r>
    </w:p>
    <w:p>
      <w:pPr>
        <w:pStyle w:val="ListBullet"/>
        <w:spacing w:after="40"/>
      </w:pPr>
      <w:r>
        <w:t>The specific external alignment project whose deadline powers the plot.</w:t>
      </w:r>
    </w:p>
    <w:p>
      <w:pPr>
        <w:pStyle w:val="ListBullet"/>
        <w:spacing w:after="40"/>
      </w:pPr>
      <w:r>
        <w:t>What Miriam failed to prevent in her earlier ministry or research life.</w:t>
      </w:r>
    </w:p>
    <w:p>
      <w:pPr>
        <w:pStyle w:val="ListBullet"/>
        <w:spacing w:after="40"/>
      </w:pPr>
      <w:r>
        <w:t>How far Livia’s final act travels toward repentance, restitution, or renewed rivalry.</w:t>
      </w:r>
    </w:p>
    <w:p>
      <w:pPr>
        <w:pStyle w:val="ListBullet"/>
        <w:spacing w:after="40"/>
      </w:pPr>
      <w:r>
        <w:t>Which explanation best accounts for the public act at the climax—and what residue remains unexplained.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66574"/>
        <w:sz w:val="16"/>
      </w:rPr>
      <w:t>Juicy Chastity Fiction Lab  •  Working asset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1A232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F669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7324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