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Source Transformation Log</w:t>
      </w:r>
    </w:p>
    <w:p>
      <w:pPr>
        <w:spacing w:after="160"/>
      </w:pPr>
      <w:r>
        <w:rPr>
          <w:b/>
          <w:color w:val="C89B3C"/>
          <w:sz w:val="21"/>
        </w:rPr>
        <w:t>Evidence-to-fiction provenance and recombination record • template v0.1</w:t>
      </w:r>
    </w:p>
    <w:p>
      <w:pPr>
        <w:spacing w:after="160"/>
        <w:pBdr>
          <w:bottom w:val="single" w:sz="14" w:space="1" w:color="C89B3C"/>
        </w:pBdr>
      </w:pPr>
    </w:p>
    <w:p>
      <w:pPr>
        <w:spacing w:after="160"/>
      </w:pPr>
      <w:r>
        <w:rPr>
          <w:i/>
          <w:color w:val="566574"/>
        </w:rPr>
        <w:t>Create one entry whenever a source contributes a mechanism, image, event shape, line of thought, institutional dynamic, or theological claim to a scene.</w:t>
      </w:r>
    </w:p>
    <w:p>
      <w:pPr>
        <w:pStyle w:val="Heading1"/>
      </w:pPr>
      <w:r>
        <w:t>Entry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What to record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Entry ID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TL-###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Scene / beat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Scene card ID and short beat name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Source asset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Title and Drive URL or MPC block ID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Source role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CANON • PRIMARY • SECONDARY • WORKING THEORY • SCENE SEED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Observed material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What the source actually reports, argues, or depicts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Interpretation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What the team thinks it means; preserve uncertainty where useful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Fictional transformation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New character, setting, chronology, motives, event shape, and causal structure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Retained kernel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The precise dynamic, practice, image, or theological claim carried into fiction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Continuity effects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New facts or constraints added to the canon ledger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Review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Story • theology/practice • publication judgment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DRAFT • CHECKED • ACCEPTED • RETIRED</w:t>
            </w:r>
          </w:p>
        </w:tc>
      </w:tr>
    </w:tbl>
    <w:p>
      <w:pPr>
        <w:pStyle w:val="Heading1"/>
      </w:pPr>
      <w:r>
        <w:t>Working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2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Scene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Retained kernel</w:t>
            </w: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Transformation</w:t>
            </w:r>
          </w:p>
        </w:tc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Canon effect</w:t>
            </w:r>
          </w:p>
        </w:tc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TL-001</w:t>
            </w:r>
          </w:p>
        </w:tc>
        <w:tc>
          <w:tcPr>
            <w:tcW w:type="dxa" w:w="12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S01 Calibration game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LEV-01 / Muscle-Readers</w:t>
            </w:r>
          </w:p>
        </w:tc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CASE FILE</w:t>
            </w: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Unconscious cues feel telepathic</w:t>
            </w: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New task, cast, setting, stakes</w:t>
            </w:r>
          </w:p>
        </w:tc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Fulcrum trains body-reading</w:t>
            </w:r>
          </w:p>
        </w:tc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DRAFT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TL-002</w:t>
            </w:r>
          </w:p>
        </w:tc>
        <w:tc>
          <w:tcPr>
            <w:tcW w:type="dxa" w:w="12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S01 Welcome salon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MPC-05 / b000076</w:t>
            </w:r>
          </w:p>
        </w:tc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CANON</w:t>
            </w: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Chastity sharpens sensual perception</w:t>
            </w: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Applied to adult romantic attention</w:t>
            </w:r>
          </w:p>
        </w:tc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Restraint increases descriptive heat</w:t>
            </w:r>
          </w:p>
        </w:tc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DRAFT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TL-003</w:t>
            </w:r>
          </w:p>
        </w:tc>
        <w:tc>
          <w:tcPr>
            <w:tcW w:type="dxa" w:w="12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S02 Doorway rule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MPC-11 / b000019</w:t>
            </w:r>
          </w:p>
        </w:tc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CANON</w:t>
            </w: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Authority honors the will</w:t>
            </w: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Mentor protects refusal during institutional pressure</w:t>
            </w:r>
          </w:p>
        </w:tc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Miriam’s authority test</w:t>
            </w:r>
          </w:p>
        </w:tc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DRAFT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TL-004</w:t>
            </w:r>
          </w:p>
        </w:tc>
        <w:tc>
          <w:tcPr>
            <w:tcW w:type="dxa" w:w="12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S02 Debrief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LEV-04 / Belief Report</w:t>
            </w:r>
          </w:p>
        </w:tc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PRIMARY METHOD</w:t>
            </w: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Micro-reactions become testimony</w:t>
            </w: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Invented prompt and facilitator</w:t>
            </w:r>
          </w:p>
        </w:tc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Fulcrum reads physiology aloud</w:t>
            </w:r>
          </w:p>
        </w:tc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DRAFT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TL-005</w:t>
            </w:r>
          </w:p>
        </w:tc>
        <w:tc>
          <w:tcPr>
            <w:tcW w:type="dxa" w:w="12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S03 Alignment vigil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LEV-06 / Intention Research</w:t>
            </w:r>
          </w:p>
        </w:tc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RESEARCH REPORT</w:t>
            </w: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Intention steers attention</w:t>
            </w: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Two teams receive opposite predictions</w:t>
            </w:r>
          </w:p>
        </w:tc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Factional split at crisis</w:t>
            </w:r>
          </w:p>
        </w:tc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DRAFT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TL-006</w:t>
            </w:r>
          </w:p>
        </w:tc>
        <w:tc>
          <w:tcPr>
            <w:tcW w:type="dxa" w:w="12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S03 Resolution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MPC-20 / b000006</w:t>
            </w:r>
          </w:p>
        </w:tc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CANON</w:t>
            </w: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Discernment without paranoia</w:t>
            </w: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Evidence protocol inside public ritual</w:t>
            </w:r>
          </w:p>
        </w:tc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Mara’s climax competence</w:t>
            </w:r>
          </w:p>
        </w:tc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DRAFT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TL-___</w:t>
            </w:r>
          </w:p>
        </w:tc>
        <w:tc>
          <w:tcPr>
            <w:tcW w:type="dxa" w:w="12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DRAFT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TL-___</w:t>
            </w:r>
          </w:p>
        </w:tc>
        <w:tc>
          <w:tcPr>
            <w:tcW w:type="dxa" w:w="12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DRAFT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TL-___</w:t>
            </w:r>
          </w:p>
        </w:tc>
        <w:tc>
          <w:tcPr>
            <w:tcW w:type="dxa" w:w="12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DRAFT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TL-___</w:t>
            </w:r>
          </w:p>
        </w:tc>
        <w:tc>
          <w:tcPr>
            <w:tcW w:type="dxa" w:w="12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DRAFT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TL-___</w:t>
            </w:r>
          </w:p>
        </w:tc>
        <w:tc>
          <w:tcPr>
            <w:tcW w:type="dxa" w:w="12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DRAFT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TL-___</w:t>
            </w:r>
          </w:p>
        </w:tc>
        <w:tc>
          <w:tcPr>
            <w:tcW w:type="dxa" w:w="12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DRAFT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TL-___</w:t>
            </w:r>
          </w:p>
        </w:tc>
        <w:tc>
          <w:tcPr>
            <w:tcW w:type="dxa" w:w="12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</w:p>
        </w:tc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DRAFT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TL-___</w:t>
            </w:r>
          </w:p>
        </w:tc>
        <w:tc>
          <w:tcPr>
            <w:tcW w:type="dxa" w:w="12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</w:p>
        </w:tc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DRAFT</w:t>
            </w:r>
          </w:p>
        </w:tc>
      </w:tr>
    </w:tbl>
    <w:p>
      <w:pPr>
        <w:pStyle w:val="Heading1"/>
      </w:pPr>
      <w:r>
        <w:t>Acceptance test</w:t>
      </w:r>
    </w:p>
    <w:p>
      <w:pPr>
        <w:pStyle w:val="ListBullet"/>
        <w:spacing w:after="40"/>
      </w:pPr>
      <w:r>
        <w:t>A reader can tell exactly which source contributed what.</w:t>
      </w:r>
    </w:p>
    <w:p>
      <w:pPr>
        <w:pStyle w:val="ListBullet"/>
        <w:spacing w:after="40"/>
      </w:pPr>
      <w:r>
        <w:t>The fictional event has its own characters, chronology, motives, and causal integrity.</w:t>
      </w:r>
    </w:p>
    <w:p>
      <w:pPr>
        <w:pStyle w:val="ListBullet"/>
        <w:spacing w:after="40"/>
      </w:pPr>
      <w:r>
        <w:t>The retained kernel is specific enough to retrieve again.</w:t>
      </w:r>
    </w:p>
    <w:p>
      <w:pPr>
        <w:pStyle w:val="ListBullet"/>
        <w:spacing w:after="40"/>
      </w:pPr>
      <w:r>
        <w:t>Any new continuity fact has been added to the canon ledger.</w:t>
      </w:r>
    </w:p>
    <w:p>
      <w:pPr>
        <w:pStyle w:val="ListBullet"/>
        <w:spacing w:after="40"/>
      </w:pPr>
      <w:r>
        <w:t>The scene remains dramatic if the source note is removed.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66574"/>
        <w:sz w:val="16"/>
      </w:rPr>
      <w:t>Juicy Chastity Fiction Lab  •  Working asset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A23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669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