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7.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43" w:name="ways-to-interact-with-coding-agents"/>
    <w:p>
      <w:pPr>
        <w:pStyle w:val="Heading4"/>
      </w:pPr>
      <w:r>
        <w:t xml:space="preserve">18.5.4.1 Ways to interact with coding agents</w:t>
      </w:r>
    </w:p>
    <w:p>
      <w:pPr>
        <w:pStyle w:val="FirstParagraph"/>
      </w:pPr>
      <w:r>
        <w:t xml:space="preserve">You can ask for similar coding work through different interfaces,</w:t>
      </w:r>
      <w:r>
        <w:t xml:space="preserve"> </w:t>
      </w:r>
      <w:r>
        <w:t xml:space="preserve">but the trade-offs are different.</w:t>
      </w:r>
      <w:r>
        <w:t xml:space="preserve"> </w:t>
      </w: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2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2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2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2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43"/>
    <w:bookmarkStart w:id="64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r>
        <w:t xml:space="preserve">18.5.4.7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c32daf6</w:t>
      </w:r>
    </w:p>
    <w:p>
      <w:pPr>
        <w:pStyle w:val="Compact"/>
        <w:numPr>
          <w:ilvl w:val="0"/>
          <w:numId w:val="1384"/>
        </w:numPr>
      </w:pPr>
      <w:r>
        <w:rPr>
          <w:b/>
          <w:bCs/>
        </w:rPr>
        <w:t xml:space="preserve">Full commit hash:</w:t>
      </w:r>
      <w:r>
        <w:t xml:space="preserve"> </w:t>
      </w:r>
      <w:r>
        <w:t xml:space="preserve">c32daf6a74585c31371997de98387faac08acb61</w:t>
      </w:r>
    </w:p>
    <w:p>
      <w:pPr>
        <w:pStyle w:val="Compact"/>
        <w:numPr>
          <w:ilvl w:val="0"/>
          <w:numId w:val="1384"/>
        </w:numPr>
      </w:pPr>
      <w:r>
        <w:rPr>
          <w:b/>
          <w:bCs/>
        </w:rPr>
        <w:t xml:space="preserve">Commit date:</w:t>
      </w:r>
      <w:r>
        <w:t xml:space="preserve"> </w:t>
      </w:r>
      <w:r>
        <w:t xml:space="preserve">2026-05-20 05:20:32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7" Target="media/rId667.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2026-05-20T05:25:51Z</dcterms:created>
  <dcterms:modified xsi:type="dcterms:W3CDTF">2026-05-20T05:25:51Z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