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 split the two cases into separate functions 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 control best practices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8c16d4f</w:t>
      </w:r>
    </w:p>
    <w:p>
      <w:pPr>
        <w:pStyle w:val="Compact"/>
        <w:numPr>
          <w:ilvl w:val="0"/>
          <w:numId w:val="1382"/>
        </w:numPr>
      </w:pPr>
      <w:r>
        <w:rPr>
          <w:b/>
          <w:bCs/>
        </w:rPr>
        <w:t xml:space="preserve">Full commit hash:</w:t>
      </w:r>
      <w:r>
        <w:t xml:space="preserve"> </w:t>
      </w:r>
      <w:r>
        <w:t xml:space="preserve">8c16d4f0bdcb11369f6abb858a92d023a3bc75ff</w:t>
      </w:r>
    </w:p>
    <w:p>
      <w:pPr>
        <w:pStyle w:val="Compact"/>
        <w:numPr>
          <w:ilvl w:val="0"/>
          <w:numId w:val="1382"/>
        </w:numPr>
      </w:pPr>
      <w:r>
        <w:rPr>
          <w:b/>
          <w:bCs/>
        </w:rPr>
        <w:t xml:space="preserve">Commit date:</w:t>
      </w:r>
      <w:r>
        <w:t xml:space="preserve"> </w:t>
      </w:r>
      <w:r>
        <w:t xml:space="preserve">2026-05-08 17:44:40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2026-05-08T17:50:49Z</dcterms:created>
  <dcterms:modified xsi:type="dcterms:W3CDTF">2026-05-08T17:50:49Z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