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0D1B2A"/>
          <w:sz w:val="52"/>
          <w:szCs w:val="52"/>
        </w:rPr>
        <w:t xml:space="preserve">Global Tuberculosis Burden Analysis</w:t>
      </w:r>
    </w:p>
    <w:p>
      <w:pPr>
        <w:spacing w:after="80"/>
        <w:jc w:val="center"/>
      </w:pPr>
      <w:r>
        <w:rPr>
          <w:rFonts w:ascii="Arial" w:cs="Arial" w:eastAsia="Arial" w:hAnsi="Arial"/>
          <w:b/>
          <w:bCs/>
          <w:color w:val="C8860A"/>
          <w:sz w:val="36"/>
          <w:szCs w:val="36"/>
        </w:rPr>
        <w:t xml:space="preserve">1990–2013</w:t>
      </w:r>
    </w:p>
    <w:p>
      <w:pPr>
        <w:spacing w:after="80"/>
        <w:jc w:val="center"/>
      </w:pPr>
      <w:r>
        <w:rPr>
          <w:rFonts w:ascii="Arial" w:cs="Arial" w:eastAsia="Arial" w:hAnsi="Arial"/>
          <w:i/>
          <w:iCs/>
          <w:color w:val="555555"/>
          <w:sz w:val="24"/>
          <w:szCs w:val="24"/>
        </w:rPr>
        <w:t xml:space="preserve">Descriptive Analysis Report</w:t>
      </w:r>
    </w:p>
    <w:p>
      <w:pPr>
        <w:spacing w:after="80"/>
        <w:jc w:val="center"/>
      </w:pPr>
      <w:r>
        <w:rPr>
          <w:rFonts w:ascii="Arial" w:cs="Arial" w:eastAsia="Arial" w:hAnsi="Arial"/>
          <w:color w:val="2C2C2C"/>
          <w:sz w:val="22"/>
          <w:szCs w:val="22"/>
        </w:rPr>
        <w:t xml:space="preserve">Prepared by: Mine Dema</w:t>
      </w:r>
    </w:p>
    <w:p>
      <w:pPr>
        <w:spacing w:after="80"/>
        <w:jc w:val="center"/>
      </w:pPr>
      <w:r>
        <w:rPr>
          <w:rFonts w:ascii="Arial" w:cs="Arial" w:eastAsia="Arial" w:hAnsi="Arial"/>
          <w:color w:val="2C2C2C"/>
          <w:sz w:val="22"/>
          <w:szCs w:val="22"/>
        </w:rPr>
        <w:t xml:space="preserve">Dataset: WHO Global Tuberculosis Burden by Country</w:t>
      </w:r>
    </w:p>
    <w:p>
      <w:pPr>
        <w:spacing w:after="400"/>
        <w:jc w:val="center"/>
      </w:pPr>
      <w:r>
        <w:rPr>
          <w:rFonts w:ascii="Arial" w:cs="Arial" w:eastAsia="Arial" w:hAnsi="Arial"/>
          <w:color w:val="2C2C2C"/>
          <w:sz w:val="22"/>
          <w:szCs w:val="22"/>
        </w:rPr>
        <w:t xml:space="preserve">Tools: Microsoft Excel (Data Cleaning) | Power BI (Visualization)</w:t>
      </w:r>
    </w:p>
    <w:p>
      <w:pPr>
        <w:pStyle w:val="Heading1"/>
        <w:pBdr>
          <w:bottom w:val="single" w:color="C8860A" w:sz="6" w:space="1"/>
        </w:pBdr>
        <w:spacing w:before="320" w:after="160"/>
      </w:pPr>
      <w:r>
        <w:rPr>
          <w:rFonts w:ascii="Arial" w:cs="Arial" w:eastAsia="Arial" w:hAnsi="Arial"/>
          <w:b/>
          <w:bCs/>
          <w:color w:val="0D1B2A"/>
          <w:sz w:val="28"/>
          <w:szCs w:val="28"/>
        </w:rPr>
        <w:t xml:space="preserve">1. Overview</w:t>
      </w:r>
    </w:p>
    <w:p>
      <w:pPr>
        <w:spacing w:after="160"/>
      </w:pPr>
      <w:r>
        <w:rPr>
          <w:rFonts w:ascii="Arial" w:cs="Arial" w:eastAsia="Arial" w:hAnsi="Arial"/>
          <w:color w:val="2C2C2C"/>
          <w:sz w:val="22"/>
          <w:szCs w:val="22"/>
        </w:rPr>
        <w:t xml:space="preserve">This analysis explores global tuberculosis (TB) burden across 218 countries and territories over a 24-year period (1990–2013). The dataset, sourced from the World Health Organization (WHO), contains key indicators including TB incidence, mortality, prevalence, and case detection rates. The goal is to identify global trends, high-burden regions and countries, and patterns in case detection that may inform public health understanding.</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Total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5,091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Countries / Territories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WHO Regions Covered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 (AFR, SEA, WPR, EMR, EUR, AMR)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Time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1990 – 2013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Key Indicators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TB Incidence, Mortality, Prevalence, Case Detection Rate</w:t>
            </w:r>
          </w:p>
        </w:tc>
      </w:tr>
    </w:tbl>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3. Global TB Incidence Trend</w:t>
      </w:r>
    </w:p>
    <w:p>
      <w:pPr>
        <w:spacing w:after="160"/>
      </w:pPr>
      <w:r>
        <w:rPr>
          <w:rFonts w:ascii="Arial" w:cs="Arial" w:eastAsia="Arial" w:hAnsi="Arial"/>
          <w:color w:val="2C2C2C"/>
          <w:sz w:val="22"/>
          <w:szCs w:val="22"/>
        </w:rPr>
        <w:t xml:space="preserve">The global average TB incidence rate (per 100,000 population) rose steadily from 128.35 in 1990, peaking at 148.61 in 2002, before declining consistently to 112.96 in 2013.</w:t>
      </w:r>
    </w:p>
    <w:p>
      <w:pPr>
        <w:spacing w:after="120"/>
      </w:pPr>
      <w:r>
        <w:t xml:space="preserve"/>
      </w:r>
    </w:p>
    <w:p>
      <w:pPr>
        <w:spacing w:after="160"/>
      </w:pPr>
      <w:r>
        <w:rPr>
          <w:rFonts w:ascii="Arial" w:cs="Arial" w:eastAsia="Arial" w:hAnsi="Arial"/>
          <w:b/>
          <w:bCs/>
          <w:color w:val="2C2C2C"/>
          <w:sz w:val="22"/>
          <w:szCs w:val="22"/>
        </w:rPr>
        <w:t xml:space="preserve">Key Observation:</w:t>
      </w:r>
    </w:p>
    <w:p>
      <w:pPr>
        <w:spacing w:after="160"/>
      </w:pPr>
      <w:r>
        <w:rPr>
          <w:rFonts w:ascii="Arial" w:cs="Arial" w:eastAsia="Arial" w:hAnsi="Arial"/>
          <w:color w:val="2C2C2C"/>
          <w:sz w:val="22"/>
          <w:szCs w:val="22"/>
        </w:rPr>
        <w:t xml:space="preserve">The peak around 2000–2002 coincides with the height of the HIV/AIDS epidemic, which significantly amplified TB vulnerability in many countries — particularly in Sub-Saharan Africa. The subsequent decline reflects the impact of global health initiatives such as the WHO’s DOTS (Directly Observed Treatment, Short-course) strategy and increased international funding for TB control.</w:t>
      </w:r>
    </w:p>
    <w:p>
      <w:pPr>
        <w:spacing w:after="160"/>
      </w:pPr>
      <w:r>
        <w:rPr>
          <w:rFonts w:ascii="Arial" w:cs="Arial" w:eastAsia="Arial" w:hAnsi="Arial"/>
          <w:i/>
          <w:iCs/>
          <w:color w:val="2C2C2C"/>
          <w:sz w:val="22"/>
          <w:szCs w:val="22"/>
        </w:rPr>
        <w:t xml:space="preserve">The overall incidence declined by approximately 24% from peak (2002) to 2013 — a meaningful improvement, though the burden remains significant.</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4. Regional Analysis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Avg Incidence (per 100k)</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Avg Mortality (per 100k)</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Avg Detection Rate (%)</w:t>
            </w:r>
          </w:p>
        </w:tc>
        <w:tc>
          <w:tcPr>
            <w:tcW w:type="dxa" w:w="1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AFR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307.88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45.89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47.49%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SEA (South-East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239.64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53.73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51.59%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WPR (Western Pacific)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132.93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63.54%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EMR (Eastern Mediterranean)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95.07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16.30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68.39%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EUR (Europe)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60.61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74.51%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AMR (Americas)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42.47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61.55%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48</w:t>
            </w:r>
          </w:p>
        </w:tc>
      </w:tr>
    </w:tbl>
    <w:p>
      <w:pPr>
        <w:spacing w:after="120"/>
      </w:pPr>
      <w:r>
        <w:t xml:space="preserve"/>
      </w:r>
    </w:p>
    <w:p>
      <w:pPr>
        <w:spacing w:after="160"/>
      </w:pPr>
      <w:r>
        <w:rPr>
          <w:rFonts w:ascii="Arial" w:cs="Arial" w:eastAsia="Arial" w:hAnsi="Arial"/>
          <w:b/>
          <w:bCs/>
          <w:color w:val="2C2C2C"/>
          <w:sz w:val="22"/>
          <w:szCs w:val="22"/>
        </w:rPr>
        <w:t xml:space="preserve">Key Observations:</w:t>
      </w:r>
    </w:p>
    <w:p>
      <w:pPr>
        <w:pStyle w:val="ListParagraph"/>
        <w:numPr>
          <w:ilvl w:val="0"/>
          <w:numId w:val="2"/>
        </w:numPr>
        <w:spacing w:after="100"/>
      </w:pPr>
      <w:r>
        <w:rPr>
          <w:rFonts w:ascii="Arial" w:cs="Arial" w:eastAsia="Arial" w:hAnsi="Arial"/>
          <w:color w:val="2C2C2C"/>
          <w:sz w:val="22"/>
          <w:szCs w:val="22"/>
        </w:rPr>
        <w:t xml:space="preserve">Africa (AFR) carries the highest TB incidence rate — more than 7 times that of the Americas (AMR).</w:t>
      </w:r>
    </w:p>
    <w:p>
      <w:pPr>
        <w:pStyle w:val="ListParagraph"/>
        <w:numPr>
          <w:ilvl w:val="0"/>
          <w:numId w:val="2"/>
        </w:numPr>
        <w:spacing w:after="100"/>
      </w:pPr>
      <w:r>
        <w:rPr>
          <w:rFonts w:ascii="Arial" w:cs="Arial" w:eastAsia="Arial" w:hAnsi="Arial"/>
          <w:color w:val="2C2C2C"/>
          <w:sz w:val="22"/>
          <w:szCs w:val="22"/>
        </w:rPr>
        <w:t xml:space="preserve">South-East Asia (SEA) records the highest average mortality rate at 53.73 per 100,000 — higher even than Africa — despite having only 11 countries. This is driven by densely populated nations like India and Bangladesh.</w:t>
      </w:r>
    </w:p>
    <w:p>
      <w:pPr>
        <w:pStyle w:val="ListParagraph"/>
        <w:numPr>
          <w:ilvl w:val="0"/>
          <w:numId w:val="2"/>
        </w:numPr>
        <w:spacing w:after="100"/>
      </w:pPr>
      <w:r>
        <w:rPr>
          <w:rFonts w:ascii="Arial" w:cs="Arial" w:eastAsia="Arial" w:hAnsi="Arial"/>
          <w:color w:val="2C2C2C"/>
          <w:sz w:val="22"/>
          <w:szCs w:val="22"/>
        </w:rPr>
        <w:t xml:space="preserve">Europe (EUR) has the lowest burden and the highest case detection rate (74.51%), suggesting stronger healthcare infrastructure.</w:t>
      </w:r>
    </w:p>
    <w:p>
      <w:pPr>
        <w:pStyle w:val="ListParagraph"/>
        <w:numPr>
          <w:ilvl w:val="0"/>
          <w:numId w:val="2"/>
        </w:numPr>
        <w:spacing w:after="100"/>
      </w:pPr>
      <w:r>
        <w:rPr>
          <w:rFonts w:ascii="Arial" w:cs="Arial" w:eastAsia="Arial" w:hAnsi="Arial"/>
          <w:color w:val="2C2C2C"/>
          <w:sz w:val="22"/>
          <w:szCs w:val="22"/>
        </w:rPr>
        <w:t xml:space="preserve">Africa’s case detection rate of 47.49% is the lowest of all regions, meaning more than half of TB cases in Africa go undetected — a critical public health gap.</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5. Highest Burden Countries</w:t>
      </w:r>
    </w:p>
    <w:p>
      <w:pPr>
        <w:spacing w:after="160"/>
      </w:pPr>
      <w:r>
        <w:rPr>
          <w:rFonts w:ascii="Arial" w:cs="Arial" w:eastAsia="Arial" w:hAnsi="Arial"/>
          <w:color w:val="2C2C2C"/>
          <w:sz w:val="22"/>
          <w:szCs w:val="22"/>
        </w:rPr>
        <w:t xml:space="preserve">The following 10 countries recorded the highest average TB incidence rates over the period:</w:t>
      </w:r>
    </w:p>
    <w:p>
      <w:pPr>
        <w:spacing w:after="12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70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Avg Incidence (per 100k)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Namibia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994.33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Lesotho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878.42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Swaziland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835.67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Central African Republic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834.12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Botswana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718.58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South Africa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650.00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Zambia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634.29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Djibouti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619.62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Zimbabwe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612.67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Cambodia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526.17</w:t>
            </w:r>
          </w:p>
        </w:tc>
      </w:tr>
    </w:tbl>
    <w:p>
      <w:pPr>
        <w:spacing w:after="120"/>
      </w:pPr>
      <w:r>
        <w:t xml:space="preserve"/>
      </w:r>
    </w:p>
    <w:p>
      <w:pPr>
        <w:spacing w:after="160"/>
      </w:pPr>
      <w:r>
        <w:rPr>
          <w:rFonts w:ascii="Arial" w:cs="Arial" w:eastAsia="Arial" w:hAnsi="Arial"/>
          <w:b/>
          <w:bCs/>
          <w:color w:val="2C2C2C"/>
          <w:sz w:val="22"/>
          <w:szCs w:val="22"/>
        </w:rPr>
        <w:t xml:space="preserve">Key Observation:</w:t>
      </w:r>
    </w:p>
    <w:p>
      <w:pPr>
        <w:spacing w:after="160"/>
      </w:pPr>
      <w:r>
        <w:rPr>
          <w:rFonts w:ascii="Arial" w:cs="Arial" w:eastAsia="Arial" w:hAnsi="Arial"/>
          <w:color w:val="2C2C2C"/>
          <w:sz w:val="22"/>
          <w:szCs w:val="22"/>
        </w:rPr>
        <w:t xml:space="preserve">9 out of the top 10 highest-burden countries are in Sub-Saharan Africa, with Cambodia being the only exception. The TB-HIV co-infection crisis in Southern Africa is a major driver — countries like Namibia, Swaziland, and Botswana have some of the world’s highest HIV prevalence rates, making their populations significantly more vulnerable to TB.</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6. Lowest Burden Countries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70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Avg Incidence (per 100k)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Bonaire, St. Eustatius &amp; Saba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1.58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Curaçao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1.70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Monaco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Barbados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2.61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San Marino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3.38</w:t>
            </w:r>
          </w:p>
        </w:tc>
      </w:tr>
    </w:tbl>
    <w:p>
      <w:pPr>
        <w:spacing w:after="120"/>
      </w:pPr>
      <w:r>
        <w:t xml:space="preserve"/>
      </w:r>
    </w:p>
    <w:p>
      <w:pPr>
        <w:spacing w:after="160"/>
      </w:pPr>
      <w:r>
        <w:rPr>
          <w:rFonts w:ascii="Arial" w:cs="Arial" w:eastAsia="Arial" w:hAnsi="Arial"/>
          <w:color w:val="2C2C2C"/>
          <w:sz w:val="22"/>
          <w:szCs w:val="22"/>
        </w:rPr>
        <w:t xml:space="preserve">These are predominantly small island nations and high-income European microstates with strong healthcare systems and lower population density.</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7. Countries With the Most Change</w:t>
      </w:r>
    </w:p>
    <w:p>
      <w:pPr>
        <w:pStyle w:val="Heading2"/>
        <w:spacing w:before="240" w:after="120"/>
      </w:pPr>
      <w:r>
        <w:rPr>
          <w:rFonts w:ascii="Arial" w:cs="Arial" w:eastAsia="Arial" w:hAnsi="Arial"/>
          <w:b/>
          <w:bCs/>
          <w:color w:val="0D1B2A"/>
          <w:sz w:val="24"/>
          <w:szCs w:val="24"/>
        </w:rPr>
        <w:t xml:space="preserve">Most Improved (1990–1995 vs 2008–2013)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760"/>
        <w:gridCol w:w="2880"/>
      </w:tblGrid>
      <w:tr>
        <w:trPr>
          <w:tblHeader/>
        </w:trPr>
        <w:tc>
          <w:tcPr>
            <w:tcW w:type="dxa" w:w="5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Change in TB Incidence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United Arab Emirates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-79.72%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Andorra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-78.83%</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Slovakia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-74.88%</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Azerbaijan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-73.85%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Slovenia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-72.95%</w:t>
            </w:r>
          </w:p>
        </w:tc>
      </w:tr>
    </w:tbl>
    <w:p>
      <w:pPr>
        <w:spacing w:after="120"/>
      </w:pPr>
      <w:r>
        <w:t xml:space="preserve"/>
      </w:r>
    </w:p>
    <w:p>
      <w:pPr>
        <w:pStyle w:val="Heading2"/>
        <w:spacing w:before="240" w:after="120"/>
      </w:pPr>
      <w:r>
        <w:rPr>
          <w:rFonts w:ascii="Arial" w:cs="Arial" w:eastAsia="Arial" w:hAnsi="Arial"/>
          <w:b/>
          <w:bCs/>
          <w:color w:val="0D1B2A"/>
          <w:sz w:val="24"/>
          <w:szCs w:val="24"/>
        </w:rPr>
        <w:t xml:space="preserve">Most Worsened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760"/>
        <w:gridCol w:w="2880"/>
      </w:tblGrid>
      <w:tr>
        <w:trPr>
          <w:tblHeader/>
        </w:trPr>
        <w:tc>
          <w:tcPr>
            <w:tcW w:type="dxa" w:w="5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Change in TB Incidence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Swaziland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+367.49%</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South Africa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+208.88%</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Marshall Islands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+198.18%</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Lesotho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+195.03%</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Kenya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+99.66%</w:t>
            </w:r>
          </w:p>
        </w:tc>
      </w:tr>
    </w:tbl>
    <w:p>
      <w:pPr>
        <w:spacing w:after="120"/>
      </w:pPr>
      <w:r>
        <w:t xml:space="preserve"/>
      </w:r>
    </w:p>
    <w:p>
      <w:pPr>
        <w:spacing w:after="160"/>
      </w:pPr>
      <w:r>
        <w:rPr>
          <w:rFonts w:ascii="Arial" w:cs="Arial" w:eastAsia="Arial" w:hAnsi="Arial"/>
          <w:b/>
          <w:bCs/>
          <w:color w:val="2C2C2C"/>
          <w:sz w:val="22"/>
          <w:szCs w:val="22"/>
        </w:rPr>
        <w:t xml:space="preserve">Key Observation:</w:t>
      </w:r>
    </w:p>
    <w:p>
      <w:pPr>
        <w:spacing w:after="160"/>
      </w:pPr>
      <w:r>
        <w:rPr>
          <w:rFonts w:ascii="Arial" w:cs="Arial" w:eastAsia="Arial" w:hAnsi="Arial"/>
          <w:color w:val="2C2C2C"/>
          <w:sz w:val="22"/>
          <w:szCs w:val="22"/>
        </w:rPr>
        <w:t xml:space="preserve">The countries that worsened most dramatically are largely those hit hardest by the HIV/AIDS epidemic during the same period. Swaziland’s TB incidence increased by over 367% — one of the starkest public health deteriorations in the dataset. This underscores how interconnected TB and HIV are as public health crises.</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8. Case Detection Rate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Global Average Detection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62.24%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Countries with Detection Rate &gt; 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Countries with Detection Rate &lt; 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18</w:t>
            </w:r>
          </w:p>
        </w:tc>
      </w:tr>
    </w:tbl>
    <w:p>
      <w:pPr>
        <w:spacing w:after="120"/>
      </w:pPr>
      <w:r>
        <w:t xml:space="preserve"/>
      </w:r>
    </w:p>
    <w:p>
      <w:pPr>
        <w:spacing w:after="160"/>
      </w:pPr>
      <w:r>
        <w:rPr>
          <w:rFonts w:ascii="Arial" w:cs="Arial" w:eastAsia="Arial" w:hAnsi="Arial"/>
          <w:b/>
          <w:bCs/>
          <w:color w:val="2C2C2C"/>
          <w:sz w:val="22"/>
          <w:szCs w:val="22"/>
        </w:rPr>
        <w:t xml:space="preserve">Key Observation:</w:t>
      </w:r>
    </w:p>
    <w:p>
      <w:pPr>
        <w:spacing w:after="160"/>
      </w:pPr>
      <w:r>
        <w:rPr>
          <w:rFonts w:ascii="Arial" w:cs="Arial" w:eastAsia="Arial" w:hAnsi="Arial"/>
          <w:color w:val="2C2C2C"/>
          <w:sz w:val="22"/>
          <w:szCs w:val="22"/>
        </w:rPr>
        <w:t xml:space="preserve">Globally, only about 62 in every 100 TB cases were being detected on average across this period. This means nearly 4 in 10 cases went undiagnosed — representing a significant gap in TB control. Countries with lower detection rates tend to also have higher incidence, suggesting that undetected cases continue to spread the disease within communities.</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9. Mortality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Total TB Deaths (excl. HIV)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SEA (South-East Asia)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~15.86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AFR (Africa)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~9.29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WPR (Western Pacific)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~4.92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EMR (Eastern Mediterranean)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~3.00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EUR (Europe)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~1.34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AMR (Americas)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~681,000</w:t>
            </w:r>
          </w:p>
        </w:tc>
      </w:tr>
    </w:tbl>
    <w:p>
      <w:pPr>
        <w:spacing w:after="120"/>
      </w:pPr>
      <w:r>
        <w:t xml:space="preserve"/>
      </w:r>
    </w:p>
    <w:p>
      <w:pPr>
        <w:spacing w:after="160"/>
      </w:pPr>
      <w:r>
        <w:rPr>
          <w:rFonts w:ascii="Arial" w:cs="Arial" w:eastAsia="Arial" w:hAnsi="Arial"/>
          <w:b/>
          <w:bCs/>
          <w:color w:val="2C2C2C"/>
          <w:sz w:val="22"/>
          <w:szCs w:val="22"/>
        </w:rPr>
        <w:t xml:space="preserve">Total recorded TB deaths (excluding HIV-positive cases): approximately 35 million over 24 years.</w:t>
      </w:r>
    </w:p>
    <w:p>
      <w:pPr>
        <w:spacing w:after="120"/>
      </w:pPr>
      <w:r>
        <w:t xml:space="preserve"/>
      </w:r>
    </w:p>
    <w:p>
      <w:pPr>
        <w:spacing w:after="160"/>
      </w:pPr>
      <w:r>
        <w:rPr>
          <w:rFonts w:ascii="Arial" w:cs="Arial" w:eastAsia="Arial" w:hAnsi="Arial"/>
          <w:color w:val="2C2C2C"/>
          <w:sz w:val="22"/>
          <w:szCs w:val="22"/>
        </w:rPr>
        <w:t xml:space="preserve">South-East Asia accounts for the highest total deaths, driven by the large populations of India, Bangladesh, and Indonesia. While Africa has a higher per-capita incidence rate, South-East Asia’s sheer population size translates to higher absolute death counts.</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10. Key Takeaways</w:t>
      </w:r>
    </w:p>
    <w:p>
      <w:pPr>
        <w:pStyle w:val="ListParagraph"/>
        <w:numPr>
          <w:ilvl w:val="0"/>
          <w:numId w:val="2"/>
        </w:numPr>
        <w:spacing w:after="100"/>
      </w:pPr>
      <w:r>
        <w:rPr>
          <w:rFonts w:ascii="Arial" w:cs="Arial" w:eastAsia="Arial" w:hAnsi="Arial"/>
          <w:color w:val="2C2C2C"/>
          <w:sz w:val="22"/>
          <w:szCs w:val="22"/>
        </w:rPr>
        <w:t xml:space="preserve">Global TB burden peaked around 2002 and has been declining — a positive trend driven by international health interventions.</w:t>
      </w:r>
    </w:p>
    <w:p>
      <w:pPr>
        <w:pStyle w:val="ListParagraph"/>
        <w:numPr>
          <w:ilvl w:val="0"/>
          <w:numId w:val="2"/>
        </w:numPr>
        <w:spacing w:after="100"/>
      </w:pPr>
      <w:r>
        <w:rPr>
          <w:rFonts w:ascii="Arial" w:cs="Arial" w:eastAsia="Arial" w:hAnsi="Arial"/>
          <w:color w:val="2C2C2C"/>
          <w:sz w:val="22"/>
          <w:szCs w:val="22"/>
        </w:rPr>
        <w:t xml:space="preserve">Africa and South-East Asia bear the heaviest burden — both in incidence and mortality.</w:t>
      </w:r>
    </w:p>
    <w:p>
      <w:pPr>
        <w:pStyle w:val="ListParagraph"/>
        <w:numPr>
          <w:ilvl w:val="0"/>
          <w:numId w:val="2"/>
        </w:numPr>
        <w:spacing w:after="100"/>
      </w:pPr>
      <w:r>
        <w:rPr>
          <w:rFonts w:ascii="Arial" w:cs="Arial" w:eastAsia="Arial" w:hAnsi="Arial"/>
          <w:color w:val="2C2C2C"/>
          <w:sz w:val="22"/>
          <w:szCs w:val="22"/>
        </w:rPr>
        <w:t xml:space="preserve">The TB-HIV co-infection crisis devastated Southern Africa — countries like Swaziland, Lesotho, and South Africa saw incidence increase by over 200% during the period.</w:t>
      </w:r>
    </w:p>
    <w:p>
      <w:pPr>
        <w:pStyle w:val="ListParagraph"/>
        <w:numPr>
          <w:ilvl w:val="0"/>
          <w:numId w:val="2"/>
        </w:numPr>
        <w:spacing w:after="100"/>
      </w:pPr>
      <w:r>
        <w:rPr>
          <w:rFonts w:ascii="Arial" w:cs="Arial" w:eastAsia="Arial" w:hAnsi="Arial"/>
          <w:color w:val="2C2C2C"/>
          <w:sz w:val="22"/>
          <w:szCs w:val="22"/>
        </w:rPr>
        <w:t xml:space="preserve">Case detection remains a critical gap — with a global average of only 62.24%, many cases go undiagnosed, fuelling continued transmission.</w:t>
      </w:r>
    </w:p>
    <w:p>
      <w:pPr>
        <w:pStyle w:val="ListParagraph"/>
        <w:numPr>
          <w:ilvl w:val="0"/>
          <w:numId w:val="2"/>
        </w:numPr>
        <w:spacing w:after="100"/>
      </w:pPr>
      <w:r>
        <w:rPr>
          <w:rFonts w:ascii="Arial" w:cs="Arial" w:eastAsia="Arial" w:hAnsi="Arial"/>
          <w:color w:val="2C2C2C"/>
          <w:sz w:val="22"/>
          <w:szCs w:val="22"/>
        </w:rPr>
        <w:t xml:space="preserve">Wealthier regions (Europe, Americas) show lower burden and higher detection rates — highlighting the role of healthcare infrastructure in TB control.</w:t>
      </w:r>
    </w:p>
    <w:p>
      <w:pPr>
        <w:pStyle w:val="ListParagraph"/>
        <w:numPr>
          <w:ilvl w:val="0"/>
          <w:numId w:val="2"/>
        </w:numPr>
        <w:spacing w:after="100"/>
      </w:pPr>
      <w:r>
        <w:rPr>
          <w:rFonts w:ascii="Arial" w:cs="Arial" w:eastAsia="Arial" w:hAnsi="Arial"/>
          <w:color w:val="2C2C2C"/>
          <w:sz w:val="22"/>
          <w:szCs w:val="22"/>
        </w:rPr>
        <w:t xml:space="preserve">Progress is possible — countries like UAE, Slovakia, and Azerbaijan reduced their TB incidence by over 70%, showing that strong health systems and targeted interventions can make a real difference.</w:t>
      </w:r>
    </w:p>
    <w:p>
      <w:pPr>
        <w:spacing w:after="120"/>
      </w:pPr>
      <w:r>
        <w:t xml:space="preserve"/>
      </w:r>
    </w:p>
    <w:p>
      <w:pPr>
        <w:pStyle w:val="Heading1"/>
        <w:pBdr>
          <w:bottom w:val="single" w:color="C8860A" w:sz="6" w:space="1"/>
        </w:pBdr>
        <w:spacing w:before="320" w:after="160"/>
      </w:pPr>
      <w:r>
        <w:rPr>
          <w:rFonts w:ascii="Arial" w:cs="Arial" w:eastAsia="Arial" w:hAnsi="Arial"/>
          <w:b/>
          <w:bCs/>
          <w:color w:val="0D1B2A"/>
          <w:sz w:val="28"/>
          <w:szCs w:val="28"/>
        </w:rPr>
        <w:t xml:space="preserve">11. Limitations</w:t>
      </w:r>
    </w:p>
    <w:p>
      <w:pPr>
        <w:pStyle w:val="ListParagraph"/>
        <w:numPr>
          <w:ilvl w:val="0"/>
          <w:numId w:val="2"/>
        </w:numPr>
        <w:spacing w:after="100"/>
      </w:pPr>
      <w:r>
        <w:rPr>
          <w:rFonts w:ascii="Arial" w:cs="Arial" w:eastAsia="Arial" w:hAnsi="Arial"/>
          <w:color w:val="2C2C2C"/>
          <w:sz w:val="22"/>
          <w:szCs w:val="22"/>
        </w:rPr>
        <w:t xml:space="preserve">Data covers 1990–2013 only — trends after 2013 are not reflected.</w:t>
      </w:r>
    </w:p>
    <w:p>
      <w:pPr>
        <w:pStyle w:val="ListParagraph"/>
        <w:numPr>
          <w:ilvl w:val="0"/>
          <w:numId w:val="2"/>
        </w:numPr>
        <w:spacing w:after="100"/>
      </w:pPr>
      <w:r>
        <w:rPr>
          <w:rFonts w:ascii="Arial" w:cs="Arial" w:eastAsia="Arial" w:hAnsi="Arial"/>
          <w:color w:val="2C2C2C"/>
          <w:sz w:val="22"/>
          <w:szCs w:val="22"/>
        </w:rPr>
        <w:t xml:space="preserve">Some values are WHO estimates, not exact counts, particularly for countries with limited reporting infrastructure.</w:t>
      </w:r>
    </w:p>
    <w:p>
      <w:pPr>
        <w:pStyle w:val="ListParagraph"/>
        <w:numPr>
          <w:ilvl w:val="0"/>
          <w:numId w:val="2"/>
        </w:numPr>
        <w:spacing w:after="100"/>
      </w:pPr>
      <w:r>
        <w:rPr>
          <w:rFonts w:ascii="Arial" w:cs="Arial" w:eastAsia="Arial" w:hAnsi="Arial"/>
          <w:color w:val="2C2C2C"/>
          <w:sz w:val="22"/>
          <w:szCs w:val="22"/>
        </w:rPr>
        <w:t xml:space="preserve">HIV-positive TB mortality data had significant missing values and was excluded from this analysis.</w:t>
      </w:r>
    </w:p>
    <w:p>
      <w:pPr>
        <w:spacing w:after="120"/>
      </w:pPr>
      <w:r>
        <w:t xml:space="preserve"/>
      </w:r>
    </w:p>
    <w:p>
      <w:pPr>
        <w:spacing w:after="160"/>
      </w:pPr>
      <w:r>
        <w:rPr>
          <w:rFonts w:ascii="Arial" w:cs="Arial" w:eastAsia="Arial" w:hAnsi="Arial"/>
          <w:i/>
          <w:iCs/>
          <w:color w:val="888888"/>
          <w:sz w:val="22"/>
          <w:szCs w:val="22"/>
        </w:rPr>
        <w:t xml:space="preserve">This analysis was conducted as part of a beginner data analytics portfolio project.</w:t>
      </w:r>
    </w:p>
    <w:p>
      <w:pPr>
        <w:spacing w:after="160"/>
      </w:pPr>
      <w:r>
        <w:rPr>
          <w:rFonts w:ascii="Arial" w:cs="Arial" w:eastAsia="Arial" w:hAnsi="Arial"/>
          <w:i/>
          <w:iCs/>
          <w:color w:val="888888"/>
          <w:sz w:val="22"/>
          <w:szCs w:val="22"/>
        </w:rPr>
        <w:t xml:space="preserve">Dataset Source: WHO Global Tuberculosis Burden Database</w:t>
      </w:r>
    </w:p>
    <w:p>
      <w:pPr>
        <w:spacing w:after="160"/>
      </w:pPr>
      <w:r>
        <w:rPr>
          <w:rFonts w:ascii="Arial" w:cs="Arial" w:eastAsia="Arial" w:hAnsi="Arial"/>
          <w:i/>
          <w:iCs/>
          <w:color w:val="888888"/>
          <w:sz w:val="22"/>
          <w:szCs w:val="22"/>
        </w:rPr>
        <w:t xml:space="preserve">Tools: Microsoft Excel | Power BI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60A" w:sz="6" w:space="1"/>
      </w:pBdr>
      <w:spacing w:before="120"/>
      <w:jc w:val="center"/>
    </w:pPr>
    <w:r>
      <w:rPr>
        <w:rFonts w:ascii="Arial" w:cs="Arial" w:eastAsia="Arial" w:hAnsi="Arial"/>
        <w:color w:val="888888"/>
        <w:sz w:val="16"/>
        <w:szCs w:val="16"/>
      </w:rPr>
      <w:t xml:space="preserve">Source: WHO Global TB Database  |  Tools: Microsoft Excel &amp; Power BI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0A" w:sz="6" w:space="1"/>
      </w:pBdr>
      <w:spacing w:after="120"/>
    </w:pPr>
    <w:r>
      <w:rPr>
        <w:rFonts w:ascii="Arial" w:cs="Arial" w:eastAsia="Arial" w:hAnsi="Arial"/>
        <w:b/>
        <w:bCs/>
        <w:color w:val="0D1B2A"/>
        <w:sz w:val="18"/>
        <w:szCs w:val="18"/>
      </w:rPr>
      <w:t xml:space="preserve">Global Tuberculosis Burden Analysis | 1990–2013</w:t>
    </w:r>
    <w:r>
      <w:rPr>
        <w:rFonts w:ascii="Arial" w:cs="Arial" w:eastAsia="Arial" w:hAnsi="Arial"/>
        <w:color w:val="888888"/>
        <w:sz w:val="18"/>
        <w:szCs w:val="18"/>
      </w:rPr>
      <w:t xml:space="preserve">		Prepared by Mine Dema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1B2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2026-03-29T19:08:15.395Z</dcterms:created>
  <dcterms:modified xsi:type="dcterms:W3CDTF">2026-03-29T19:08:15.396Z</dcterms:modified>
</cp:coreProperties>
</file>

<file path=docProps/custom.xml><?xml version="1.0" encoding="utf-8"?>
<Properties xmlns="http://schemas.openxmlformats.org/officeDocument/2006/custom-properties" xmlns:vt="http://schemas.openxmlformats.org/officeDocument/2006/docPropsVTypes"/>
</file>