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6.608"/>
        <w:gridCol w:w="1218.048"/>
        <w:gridCol w:w="6025.344"/>
        <w:tblGridChange w:id="0">
          <w:tblGrid>
            <w:gridCol w:w="2116.608"/>
            <w:gridCol w:w="1218.048"/>
            <w:gridCol w:w="6025.3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dtype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loan_amnt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float32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The listed amount of the loan applied for by the borrower. If LendingClub reduces it during approval (credit review), this reflects the final requested/approved amount.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Key for sizing risk</w:t>
            </w:r>
            <w:r w:rsidDel="00000000" w:rsidR="00000000" w:rsidRPr="00000000">
              <w:rPr>
                <w:rtl w:val="0"/>
              </w:rPr>
              <w:t xml:space="preserve"> — larger amounts often correlate with higher default pressure.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funded_amnt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float32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The total amount actually funded/commit by investors for the loan (usually equals loan_amnt unless partially funded, but in accepted data it's typically the same). Useful for comparing requested vs. actual funding.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int_rate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float32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Interest Rate on the loan (as a percentage, e.g., 12.99 for 12.99%). This is set by LendingClub based on grade/sub-grade/risk.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 of the strongest predictors of default</w:t>
            </w:r>
            <w:r w:rsidDel="00000000" w:rsidR="00000000" w:rsidRPr="00000000">
              <w:rPr>
                <w:rtl w:val="0"/>
              </w:rPr>
              <w:t xml:space="preserve"> — higher rates signal higher risk (your heatmap showed 0.21 correlation with default).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annual_inc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float32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The self-reported annual income provided by the borrower during registration/application. Used heavily in DTI calculation and ability-to-repay assessment. Higher income often protects against default (though weak linear correlation in your heatmap).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float32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Debt-to-Income ratio: Borrower's total monthly debt payments (on existing obligations, excluding mortgage and the new LC loan) divided by monthly gross income, ×100 (percentage).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Key approval filter</w:t>
            </w:r>
            <w:r w:rsidDel="00000000" w:rsidR="00000000" w:rsidRPr="00000000">
              <w:rPr>
                <w:rtl w:val="0"/>
              </w:rPr>
              <w:t xml:space="preserve"> — LendingClub caps this around 36–40%; higher values slightly raise default odds (your density plot showed subtle shift).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fico_range_low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float32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lower boundary of the borrower's FICO score range at loan origination (FICO reported in 5-point ranges, e.g., 700–704 → low=700).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Top predictor of default/success</w:t>
            </w:r>
            <w:r w:rsidDel="00000000" w:rsidR="00000000" w:rsidRPr="00000000">
              <w:rPr>
                <w:rtl w:val="0"/>
              </w:rPr>
              <w:t xml:space="preserve"> — lower values strongly associate with higher default (your boxplot showed ~20–30 point median gap).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fico_range_high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float32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The upper boundary of the same FICO range (e.g., 704 for above). Often used together with low; many analyses just use the low or average (midpoint) since ranges are narrow. Similar importance to low.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delinq_2yrs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number of times the borrower had been 30+ days past due on payments in the past 2 years (from credit report). Higher values flag recent delinquency risk → worse grade/higher default likelihood.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inq_last_6mths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Number of credit inquiries (hard pulls) in the last 6 months. More inquiries can signal credit-seeking behavior or distress → negative signal for approval/default.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open_acc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int8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Number of open credit lines/accounts in the borrower's credit file. Too few or too many can indicate risk (e.g., thin file or overextended).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pub_rec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Number of derogatory public records (e.g., bankruptcies, tax liens, judgments) on the credit report. Higher = major red flag → often leads to decline or high grade/rate.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revol_util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float32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Revolving credit utilization rate (%): Amount of revolving credit used / total revolving credit limit available. High utilization (&gt;70–80%) hurts FICO and signals risk → moderate correlation with default and int_rate (your heatmap: 0.26 with int_rate, 0.06 with default).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total_pymnt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float32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Total payments received to date (principal + interest + fees).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Outcome-related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for completed loans, compare to funded_amnt to derive actual return/loss. Useful for success measurement (e.g., if total_pymnt &lt; funded_amnt → loss).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Current status of the loan: Fully Paid, Charged Off, Current, Default, Late (16-30 days), Late (31-120 days), etc.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Core outcome variable</w:t>
            </w:r>
            <w:r w:rsidDel="00000000" w:rsidR="00000000" w:rsidRPr="00000000">
              <w:rPr>
                <w:rtl w:val="0"/>
              </w:rPr>
              <w:t xml:space="preserve"> for your project — group into "good" (Fully Paid) vs. "bad" (Charged Off/Default/Late) for default analysis.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LC-assigned loan grade: A (best/lowest risk) to G (worst/highest risk). Summary of all risk factors (FICO, DTI, etc.).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Usually #1 most important feature</w:t>
            </w:r>
            <w:r w:rsidDel="00000000" w:rsidR="00000000" w:rsidRPr="00000000">
              <w:rPr>
                <w:rtl w:val="0"/>
              </w:rPr>
              <w:t xml:space="preserve"> for default prediction and approval (your boxplots showed huge step-up in rate and default by grade).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sub_grade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More granular grade: A1 (best) to G5 (worst). Provides finer risk buckets within each letter grade. Often used instead of grade for modeling precision.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home_ownership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Home ownership status provided by borrower or from credit report: RENT, OWN, MORTGAGE, OTHER, NONE. Slight default differences (e.g., OWN sometimes lower risk).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Whether income was verified: Verified, Source Verified, Not Verified. "Verified" means LC checked paystubs/W-2s; can influence trust/approval.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Borrower-selected loan purpose/category: debt_consolidation, credit_card, home_improvement, major_purchase, small_business, etc. Certain purposes (e.g., small_business) show higher default rates in your plots.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state (two-letter code) provided by the borrower in the application (or from credit file). Useful for geographic trends (e.g., default rates by state/region).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 month-year the loan was issued/funded (format: MMM-YYYY, e.g., Dec-2015).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Critical for time trends</w:t>
            </w:r>
            <w:r w:rsidDel="00000000" w:rsidR="00000000" w:rsidRPr="00000000">
              <w:rPr>
                <w:rtl w:val="0"/>
              </w:rPr>
              <w:t xml:space="preserve"> — convert to datetime to analyze changes in approval standards, default rates, average amounts/rates over years (your line plots).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earliest_cr_line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The month-year the borrower's earliest reported credit line was opened (from credit file, e.g., Jan-2001). Used to calculate credit history length (age of credit). Longer history often better for approval/lower risk.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