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121338912134"/>
        <w:gridCol w:w="1811.297071129707"/>
        <w:gridCol w:w="1356.0251046025105"/>
        <w:gridCol w:w="4513.556485355649"/>
        <w:tblGridChange w:id="0">
          <w:tblGrid>
            <w:gridCol w:w="1679.121338912134"/>
            <w:gridCol w:w="1811.297071129707"/>
            <w:gridCol w:w="1356.0251046025105"/>
            <w:gridCol w:w="4513.556485355649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pandas dtype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dtype? (Explanation &amp; EDA Benefit)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Numeric loan amount (continuous). Allows easy statistical analysis (mean, median, histograms, outliers) and comparisons with approved loans. Low memory and fast computations.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object (then → datetime)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Date stored as string on load for speed. Convert later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pd.to_datetime()</w:t>
            </w:r>
            <w:r w:rsidDel="00000000" w:rsidR="00000000" w:rsidRPr="00000000">
              <w:rPr>
                <w:rtl w:val="0"/>
              </w:rPr>
              <w:t xml:space="preserve"> for time-series trends (approval patterns by year/quarter) — critical for the "trends over time" project question.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object (or category)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Free-text loan purpose (e.g., "Debt consolidation"). Useful for text analysis, word clouds, or grouping. Can convert to category if memory is tight.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float64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Borrower risk/FICO-like score. Key numeric feature for approval decisions and identifying "missed good loans" (high score but declined). Handles NaNs gracefully.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Debt-To-Income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object (then → float)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Stored as string like "15.5%" or "NA". Load as object to avoid errors, then clean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str.rstrip('%')</w:t>
            </w:r>
            <w:r w:rsidDel="00000000" w:rsidR="00000000" w:rsidRPr="00000000">
              <w:rPr>
                <w:rtl w:val="0"/>
              </w:rPr>
              <w:t xml:space="preserve"> and convert to float) for correlation with default risk and DTI distribution analysis.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Postal code (e.g., "123xx"). Treated as string for geographic grouping. Enables state-level or regional pattern discovery without numeric misinterpretation.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object (or category)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2-letter state code. Perfect as categorical for count plots, approval rates by state, and geographic insights. Low cardinality → convert to category for memory savings.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Employment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object (then → numeric)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Strings like "10+ years", "&lt; 1 year". Load as object, then extract numeric value for employment stability analysis (strong predictor of loan success/default).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int64 (or category)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Integer code (typically 0 = declined under policy). Acts as the target label for approval modeling. Small integers → very memory efficient.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