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color w:val="9C7A3C"/>
                <w:sz w:val="17"/>
                <w:szCs w:val="17"/>
              </w:rPr>
              <w:t xml:space="preserve">DOCUMENT DE SPÉCIFICATION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7616F"/>
                <w:sz w:val="16"/>
                <w:szCs w:val="16"/>
              </w:rPr>
              <w:t xml:space="preserve">Réf. DMS-ACAD / CDC-01</w:t>
            </w:r>
          </w:p>
        </w:tc>
      </w:tr>
    </w:tbl>
    <w:p>
      <w:pPr>
        <w:spacing w:after="0" w:before="700"/>
      </w:pPr>
      <w:r>
        <w:rPr>
          <w:rFonts w:ascii="Georgia" w:cs="Georgia" w:eastAsia="Georgia" w:hAnsi="Georgia"/>
          <w:b/>
          <w:bCs/>
          <w:color w:val="1C2430"/>
          <w:sz w:val="84"/>
          <w:szCs w:val="84"/>
        </w:rPr>
        <w:t xml:space="preserve">DMS ACAD</w:t>
      </w:r>
    </w:p>
    <w:p>
      <w:pPr>
        <w:pBdr>
          <w:bottom w:val="single" w:color="9C7A3C" w:sz="24" w:space="1"/>
        </w:pBdr>
        <w:spacing w:after="260" w:before="260"/>
      </w:pPr>
      <w:r>
        <w:rPr>
          <w:sz w:val="2"/>
          <w:szCs w:val="2"/>
        </w:rPr>
        <w:t xml:space="preserve">        </w:t>
      </w:r>
    </w:p>
    <w:p>
      <w:pPr>
        <w:spacing w:after="1400"/>
      </w:pPr>
      <w:r>
        <w:rPr>
          <w:rFonts w:ascii="Cambria" w:cs="Cambria" w:eastAsia="Cambria" w:hAnsi="Cambria"/>
          <w:i/>
          <w:iCs/>
          <w:color w:val="57616F"/>
          <w:sz w:val="26"/>
          <w:szCs w:val="26"/>
        </w:rPr>
        <w:t xml:space="preserve">Cahier des charges — Système de gestion académique multi-établissements, application web et mobile.</w:t>
      </w:r>
    </w:p>
    <w:tbl>
      <w:tblPr>
        <w:tblW w:type="pct" w:w="100%"/>
        <w:tblBorders>
          <w:top w:val="single" w:color="D7D6CC" w:sz="2"/>
          <w:left w:val="single" w:color="D7D6CC" w:sz="2"/>
          <w:bottom w:val="single" w:color="D7D6CC" w:sz="2"/>
          <w:right w:val="single" w:color="D7D6CC" w:sz="2"/>
          <w:insideH w:val="single" w:color="D7D6CC" w:sz="2"/>
          <w:insideV w:val="single" w:color="D7D6CC" w:sz="2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7616F"/>
                <w:sz w:val="14"/>
                <w:szCs w:val="14"/>
              </w:rPr>
              <w:t xml:space="preserve">VERSION</w:t>
            </w:r>
          </w:p>
          <w:p>
            <w:r>
              <w:rPr>
                <w:rFonts w:ascii="Calibri" w:cs="Calibri" w:eastAsia="Calibri" w:hAnsi="Calibri"/>
                <w:color w:val="1C2430"/>
                <w:sz w:val="20"/>
                <w:szCs w:val="20"/>
              </w:rPr>
              <w:t xml:space="preserve">1.0</w:t>
            </w:r>
          </w:p>
        </w:tc>
        <w:tc>
          <w:tcPr>
            <w:tcW w:type="pct" w:w="50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7616F"/>
                <w:sz w:val="14"/>
                <w:szCs w:val="14"/>
              </w:rPr>
              <w:t xml:space="preserve">DATE</w:t>
            </w:r>
          </w:p>
          <w:p>
            <w:r>
              <w:rPr>
                <w:rFonts w:ascii="Calibri" w:cs="Calibri" w:eastAsia="Calibri" w:hAnsi="Calibri"/>
                <w:color w:val="1C2430"/>
                <w:sz w:val="20"/>
                <w:szCs w:val="20"/>
              </w:rPr>
              <w:t xml:space="preserve">21 août 2026</w:t>
            </w:r>
          </w:p>
        </w:tc>
      </w:tr>
      <w:tr>
        <w:tc>
          <w:tcPr>
            <w:tcW w:type="pct" w:w="50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7616F"/>
                <w:sz w:val="14"/>
                <w:szCs w:val="14"/>
              </w:rPr>
              <w:t xml:space="preserve">RÉDIGÉ PAR</w:t>
            </w:r>
          </w:p>
          <w:p>
            <w:r>
              <w:rPr>
                <w:rFonts w:ascii="Calibri" w:cs="Calibri" w:eastAsia="Calibri" w:hAnsi="Calibri"/>
                <w:color w:val="1C2430"/>
                <w:sz w:val="20"/>
                <w:szCs w:val="20"/>
              </w:rPr>
              <w:t xml:space="preserve">Romeo Gabin</w:t>
            </w:r>
          </w:p>
        </w:tc>
        <w:tc>
          <w:tcPr>
            <w:tcW w:type="pct" w:w="50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7616F"/>
                <w:sz w:val="14"/>
                <w:szCs w:val="14"/>
              </w:rPr>
              <w:t xml:space="preserve">STATUT</w:t>
            </w:r>
          </w:p>
          <w:p>
            <w:r>
              <w:rPr>
                <w:rFonts w:ascii="Calibri" w:cs="Calibri" w:eastAsia="Calibri" w:hAnsi="Calibri"/>
                <w:color w:val="1C2430"/>
                <w:sz w:val="20"/>
                <w:szCs w:val="20"/>
              </w:rPr>
              <w:t xml:space="preserve">Document de travail</w:t>
            </w:r>
          </w:p>
        </w:tc>
      </w:tr>
      <w:tr>
        <w:tc>
          <w:tcPr>
            <w:tcW w:type="pct" w:w="50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7616F"/>
                <w:sz w:val="14"/>
                <w:szCs w:val="14"/>
              </w:rPr>
              <w:t xml:space="preserve">DOMAINE</w:t>
            </w:r>
          </w:p>
          <w:p>
            <w:r>
              <w:rPr>
                <w:rFonts w:ascii="Calibri" w:cs="Calibri" w:eastAsia="Calibri" w:hAnsi="Calibri"/>
                <w:color w:val="1C2430"/>
                <w:sz w:val="20"/>
                <w:szCs w:val="20"/>
              </w:rPr>
              <w:t xml:space="preserve">Gestion académique — multi-établissements</w:t>
            </w:r>
          </w:p>
        </w:tc>
        <w:tc>
          <w:tcPr>
            <w:tcW w:type="pct" w:w="50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7616F"/>
                <w:sz w:val="14"/>
                <w:szCs w:val="14"/>
              </w:rPr>
              <w:t xml:space="preserve">DIFFUSION</w:t>
            </w:r>
          </w:p>
          <w:p>
            <w:r>
              <w:rPr>
                <w:rFonts w:ascii="Calibri" w:cs="Calibri" w:eastAsia="Calibri" w:hAnsi="Calibri"/>
                <w:color w:val="1C2430"/>
                <w:sz w:val="20"/>
                <w:szCs w:val="20"/>
              </w:rPr>
              <w:t xml:space="preserve">Usage interne / portfolio</w:t>
            </w:r>
          </w:p>
        </w:tc>
      </w:tr>
    </w:tbl>
    <w:p>
      <w:pPr>
        <w:pageBreakBefore/>
        <w:spacing w:after="120"/>
      </w:pPr>
      <w:r>
        <w:rPr>
          <w:rFonts w:ascii="Georgia" w:cs="Georgia" w:eastAsia="Georgia" w:hAnsi="Georgia"/>
          <w:b/>
          <w:bCs/>
          <w:color w:val="1C2430"/>
          <w:sz w:val="40"/>
          <w:szCs w:val="40"/>
        </w:rPr>
        <w:t xml:space="preserve">Sommaire</w:t>
      </w:r>
    </w:p>
    <w:p>
      <w:pPr>
        <w:spacing w:after="320"/>
      </w:pPr>
      <w:r>
        <w:rPr>
          <w:rFonts w:ascii="Calibri" w:cs="Calibri" w:eastAsia="Calibri" w:hAnsi="Calibri"/>
          <w:color w:val="57616F"/>
          <w:sz w:val="19"/>
          <w:szCs w:val="19"/>
        </w:rPr>
        <w:t xml:space="preserve">Huit chapitres couvrent le contexte du projet, les acteurs, le périmètre fonctionnel détaillé, les exigences non fonctionnelles, l'architecture technique, les contraintes connues, les livrables et le glossaire.</w:t>
      </w:r>
    </w:p>
    <w:sdt>
      <w:sdtPr>
        <w:alias w:val="Cliquer pour mettre à jour le sommaire (clic droit → Mettre à jour les champs)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0"/>
      </w:pPr>
      <w:r>
        <w:rPr>
          <w:rFonts w:ascii="Georgia" w:cs="Georgia" w:eastAsia="Georgia" w:hAnsi="Georgia"/>
          <w:b/>
          <w:bCs/>
          <w:color w:val="9C7A3C"/>
        </w:rPr>
        <w:t xml:space="preserve">01  </w:t>
      </w:r>
      <w:r>
        <w:rPr>
          <w:rFonts w:ascii="Georgia" w:cs="Georgia" w:eastAsia="Georgia" w:hAnsi="Georgia"/>
          <w:b/>
          <w:bCs/>
          <w:color w:val="1C2430"/>
        </w:rPr>
        <w:t xml:space="preserve">Présentation générale du projet</w:t>
      </w:r>
    </w:p>
    <w:p>
      <w:pPr>
        <w:pStyle w:val="Heading2"/>
        <w:pBdr>
          <w:bottom w:val="single" w:color="D7D6CC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1.1  </w:t>
      </w:r>
      <w:r>
        <w:rPr>
          <w:rFonts w:ascii="Georgia" w:cs="Georgia" w:eastAsia="Georgia" w:hAnsi="Georgia"/>
          <w:b/>
          <w:bCs/>
          <w:color w:val="1C2430"/>
        </w:rPr>
        <w:t xml:space="preserve">Contexte</w:t>
      </w:r>
    </w:p>
    <w:p>
      <w:pPr>
        <w:spacing w:after="160"/>
      </w:pPr>
      <w:r>
        <w:rPr>
          <w:rFonts w:ascii="Cambria" w:cs="Cambria" w:eastAsia="Cambria" w:hAnsi="Cambria"/>
        </w:rPr>
        <w:t xml:space="preserve">De nombreux établissements scolaires (collèges, lycées, CES, ENIEG, CETIC, ...) gèrent aujourd'hui leurs données pédagogiques et administratives de façon dispersée, sans outil commun permettant à chaque établissement de conserver l'autonomie de ses propres données tout en s'appuyant sur une application unique et mutualisée.</w:t>
      </w:r>
    </w:p>
    <w:p>
      <w:pPr>
        <w:pStyle w:val="Heading2"/>
        <w:pBdr>
          <w:bottom w:val="single" w:color="D7D6CC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1.2  </w:t>
      </w:r>
      <w:r>
        <w:rPr>
          <w:rFonts w:ascii="Georgia" w:cs="Georgia" w:eastAsia="Georgia" w:hAnsi="Georgia"/>
          <w:b/>
          <w:bCs/>
          <w:color w:val="1C2430"/>
        </w:rPr>
        <w:t xml:space="preserve">Objectifs du projet</w:t>
      </w:r>
    </w:p>
    <w:p>
      <w:pPr>
        <w:spacing w:after="160"/>
      </w:pPr>
      <w:r>
        <w:rPr>
          <w:rFonts w:ascii="Cambria" w:cs="Cambria" w:eastAsia="Cambria" w:hAnsi="Cambria"/>
        </w:rPr>
        <w:t xml:space="preserve">DMS ACAD a pour objectif de fournir une plateforme unique de gestion académique, utilisable par plusieurs établissements indépendants, permettant de 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centraliser la gestion administrative et pédagogique de chaque établissement (personnel, élèves, classes, matières, notes, discipline) tout en garantissant l'isolation des données entre établissements 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offrir un accès web et un accès mobile (Android) à la même application 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sécuriser l'accès aux données par un système d'authentification et de rôles 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réduire la charge de saisie manuelle grâce à l'import/export en masse et à la génération automatique de documents PDF/Excel 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rester utilisable en cas de coupure de connexion ponctuelle, via l'export et l'import hors-ligne des notes.</w:t>
      </w:r>
    </w:p>
    <w:p>
      <w:pPr>
        <w:pStyle w:val="Heading2"/>
        <w:pBdr>
          <w:bottom w:val="single" w:color="D7D6CC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1.3  </w:t>
      </w:r>
      <w:r>
        <w:rPr>
          <w:rFonts w:ascii="Georgia" w:cs="Georgia" w:eastAsia="Georgia" w:hAnsi="Georgia"/>
          <w:b/>
          <w:bCs/>
          <w:color w:val="1C2430"/>
        </w:rPr>
        <w:t xml:space="preserve">Enjeux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Isolation des données — les données d'un établissement ne doivent jamais être visibles par un autre.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Sécurité des accès — chaque utilisateur ne doit accéder qu'aux fonctionnalités correspondant à son rôle.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Fiabilité de la saisie des notes, activité la plus sensible et la plus fréquente du système.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Adaptabilité — le système doit couvrir aussi bien un cursus classique que l'approche par compétences (APC).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57616F"/>
          <w:sz w:val="16"/>
          <w:szCs w:val="16"/>
        </w:rPr>
        <w:t xml:space="preserve">↑ Retour au sommaire</w:t>
      </w:r>
    </w:p>
    <w:p>
      <w:pPr>
        <w:pStyle w:val="Heading1"/>
        <w:pageBreakBefore/>
        <w:spacing w:after="240" w:before="0"/>
      </w:pPr>
      <w:r>
        <w:rPr>
          <w:rFonts w:ascii="Georgia" w:cs="Georgia" w:eastAsia="Georgia" w:hAnsi="Georgia"/>
          <w:b/>
          <w:bCs/>
          <w:color w:val="9C7A3C"/>
        </w:rPr>
        <w:t xml:space="preserve">02  </w:t>
      </w:r>
      <w:r>
        <w:rPr>
          <w:rFonts w:ascii="Georgia" w:cs="Georgia" w:eastAsia="Georgia" w:hAnsi="Georgia"/>
          <w:b/>
          <w:bCs/>
          <w:color w:val="1C2430"/>
        </w:rPr>
        <w:t xml:space="preserve">Acteurs du système</w:t>
      </w:r>
    </w:p>
    <w:p>
      <w:pPr>
        <w:spacing w:after="160"/>
      </w:pPr>
      <w:r>
        <w:rPr>
          <w:rFonts w:ascii="Cambria" w:cs="Cambria" w:eastAsia="Cambria" w:hAnsi="Cambria"/>
          <w:color w:val="57616F"/>
          <w:sz w:val="21"/>
          <w:szCs w:val="21"/>
        </w:rPr>
        <w:t xml:space="preserve">Chaque compte est rattaché à un unique établissement. Pour les comptes non administratifs, l'accès peut en outre être limité aux seules classes explicitement assignées à l'utilisateur.</w:t>
      </w:r>
    </w:p>
    <w:tbl>
      <w:tblPr>
        <w:tblW w:type="pct" w:w="100%"/>
        <w:tblBorders>
          <w:top w:val="single" w:color="D7D6CC" w:sz="2"/>
          <w:left w:val="single" w:color="D7D6CC" w:sz="2"/>
          <w:bottom w:val="single" w:color="D7D6CC" w:sz="2"/>
          <w:right w:val="single" w:color="D7D6CC" w:sz="2"/>
          <w:insideH w:val="single" w:color="D7D6CC" w:sz="2"/>
          <w:insideV w:val="single" w:color="D7D6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C24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pct" w:w="34%"/>
            <w:shd w:fill="1C24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50%"/>
            <w:shd w:fill="1C24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Périmètre d'accès</w:t>
            </w:r>
          </w:p>
        </w:tc>
      </w:tr>
      <w:t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ADMIN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Administrateur de l'établissement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Accès complet à tous les modules d'administration</w:t>
            </w:r>
          </w:p>
        </w:tc>
      </w:tr>
      <w:t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TOP_MANAGEMENT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Direction générale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Accès de supervision</w:t>
            </w:r>
          </w:p>
        </w:tc>
      </w:tr>
      <w:t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SG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Surveillant général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Discipline et classes qui lui sont rattachées</w:t>
            </w:r>
          </w:p>
        </w:tc>
      </w:tr>
      <w:t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CENSEUR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Vice-principal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Classes, matières de classe, élèves, discipline (classes assignées)</w:t>
            </w:r>
          </w:p>
        </w:tc>
      </w:tr>
      <w:t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TEACHER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Enseignant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Saisie des notes des matières qui lui sont attribuées, discipline selon attribution</w:t>
            </w:r>
          </w:p>
        </w:tc>
      </w:tr>
      <w:t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BURSAR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Économe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Gestion financière — hors périmètre actuel développé</w:t>
            </w:r>
          </w:p>
        </w:tc>
      </w:tr>
      <w:t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PARENT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Parent d'élève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Consultation — hors périmètre actuel développé</w:t>
            </w:r>
          </w:p>
        </w:tc>
      </w:tr>
      <w:t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STUDENT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Élève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Consultation — hors périmètre actuel développé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57616F"/>
          <w:sz w:val="16"/>
          <w:szCs w:val="16"/>
        </w:rPr>
        <w:t xml:space="preserve">↑ Retour au sommaire</w:t>
      </w:r>
    </w:p>
    <w:p>
      <w:pPr>
        <w:pStyle w:val="Heading1"/>
        <w:pageBreakBefore/>
        <w:spacing w:after="240" w:before="0"/>
      </w:pPr>
      <w:r>
        <w:rPr>
          <w:rFonts w:ascii="Georgia" w:cs="Georgia" w:eastAsia="Georgia" w:hAnsi="Georgia"/>
          <w:b/>
          <w:bCs/>
          <w:color w:val="9C7A3C"/>
        </w:rPr>
        <w:t xml:space="preserve">03  </w:t>
      </w:r>
      <w:r>
        <w:rPr>
          <w:rFonts w:ascii="Georgia" w:cs="Georgia" w:eastAsia="Georgia" w:hAnsi="Georgia"/>
          <w:b/>
          <w:bCs/>
          <w:color w:val="1C2430"/>
        </w:rPr>
        <w:t xml:space="preserve">Périmètre fonctionnel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3.1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Authentification et sécurité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Connexion par identifiant/mot de passe, propre à chaque établissement.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Jeton d'accès de courte durée et jeton de rafraîchissement, pour maintenir la session sans nouvelle saisie du mot de passe.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Déconnexion invalidant les jetons côté serveur.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Restriction de chaque écran et de chaque action aux rôles autorisés.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Sélection de l'établissement, de l'année scolaire et de la section (francophone/anglophone) avant la connexion.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3.2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Gestion multi-établissements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Chaque établissement dispose de ses propres données, totalement isolées des autres établissements.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Un compte est associé à un seul établissement à la fois.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Bascule possible entre serveur distant (production) et serveur local, pour les besoins de test.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3.3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Gestion du personnel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Création, consultation, modification et suppression des membres du personnel.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Association d'un compte de connexion à chaque membre du personnel, avec génération automatique d'identifiants et de mots de passe.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Recherche et export (CSV/PDF) de la liste du personnel.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3.4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Gestion des élèves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Création, consultation, modification et suppression des élèves, par classe.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Génération automatique de matricule selon la convention de numérotation de l'établissement.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Import en masse depuis un fichier Excel et export (CSV/PDF).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Gestion de la photo de l'élève (ajout, recadrage, rotation).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Indicateurs par classe (filles/garçons, redoublants, nouveaux, cas sociaux) et statistiques d'effectifs à l'échelle de l'établissement.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3.5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Gestion pédagogique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Filières et spécialités — création, modification, suppression.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Classes — création, import, gestion par niveau, activation de l'approche par compétences (APC) par niveau.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Matières et groupes de matières — création, modification, suppression, import.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Attribution des matières aux classes (coefficient, groupe), avec duplication possible vers d'autres classes du même niveau.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Compétences (classes APC) — gestion par matière, par classe et par trimestre.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3.6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Attribution des cours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Attribution d'un enseignant à une matière pour une ou plusieurs classes.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Consultation des attributions par enseignant et par classe.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Suppression individuelle ou groupée des attributions, et impression de la liste complète de l'établissement.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3.7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Saisie des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Deux modes selon le niveau de la classe : classique (deux séquences par trimestre) ou par compétences — APC (une évaluation par compétence).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Verrouillage global d'une séquence/période, empêchant toute saisie une fois les notes validées.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Visualisation du taux de remplissage des notes par matière (tableau et graphique).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Effacement groupé des notes d'une classe/matière/période.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Export et import hors-ligne des notes (CSV, ou classeur Excel multi-feuilles), pour sécuriser la saisie en cas de coupure réseau.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Rapport PDF consolidé des notes de toutes les classes d'une section, pour un trimestre donné.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3.8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Discipline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Suivi des faits de discipline par classe, accessible au surveillant général et au censeur selon les classes qui leur sont assignées.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3.9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Gestion des comptes utilisateurs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Gestion centralisée des comptes (identifiants, mots de passe, rôles) de l'ensemble des utilisateurs de l'établissement.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Auto-gestion des identifiants par chaque utilisateur connecté.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3.10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Paramétrage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Paramétrage, par année scolaire, du mode de classification des élèves (« classifié » / « non classifié ») utilisé lors de la future génération des bulletins, avec un seuil de taux de participation configurable.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3.11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Export et édition de documents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Export CSV et PDF pour l'ensemble des listes (personnel, élèves, classes, matières, filières, spécialités, attributions, effectifs, notes).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Documents PDF avec en-tête institutionnel (logo, coordonnées), bloc de signature et filigrane, générés automatiquement à partir des informations de l'établissement.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3.12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Informations de l'établissement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Renseignement des informations de base de l'établissement (nom, type, adresse, contact, logo, lieu et date de signature des documents officiels) par année scolaire.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3.13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Application mobile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Empaquetage de l'application dans une application Android, offrant le même périmètre fonctionnel que la version web.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9C7A3C"/>
          <w:sz w:val="18"/>
          <w:szCs w:val="18"/>
        </w:rPr>
        <w:t xml:space="preserve">3.14  </w:t>
      </w:r>
      <w:r>
        <w:rPr>
          <w:rFonts w:ascii="Georgia" w:cs="Georgia" w:eastAsia="Georgia" w:hAnsi="Georgia"/>
          <w:b/>
          <w:bCs/>
          <w:color w:val="1C2430"/>
          <w:sz w:val="22"/>
          <w:szCs w:val="22"/>
        </w:rPr>
        <w:t xml:space="preserve">Hors périmètre actuel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Génération des bulletins de notes.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Envoi de SMS aux parents.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Édition des livrets scolaires.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Gestion des promotions et du basculement d'année scolaire.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Gestion des bourses et des élèves insolvables.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Espace dédié aux parents et aux élèves.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  <w:color w:val="57616F"/>
          <w:sz w:val="20"/>
          <w:szCs w:val="20"/>
        </w:rPr>
        <w:t xml:space="preserve">Gestion financière (économat).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57616F"/>
          <w:sz w:val="16"/>
          <w:szCs w:val="16"/>
        </w:rPr>
        <w:t xml:space="preserve">↑ Retour au sommaire</w:t>
      </w:r>
    </w:p>
    <w:p>
      <w:pPr>
        <w:pStyle w:val="Heading1"/>
        <w:pageBreakBefore/>
        <w:spacing w:after="240" w:before="0"/>
      </w:pPr>
      <w:r>
        <w:rPr>
          <w:rFonts w:ascii="Georgia" w:cs="Georgia" w:eastAsia="Georgia" w:hAnsi="Georgia"/>
          <w:b/>
          <w:bCs/>
          <w:color w:val="9C7A3C"/>
        </w:rPr>
        <w:t xml:space="preserve">04  </w:t>
      </w:r>
      <w:r>
        <w:rPr>
          <w:rFonts w:ascii="Georgia" w:cs="Georgia" w:eastAsia="Georgia" w:hAnsi="Georgia"/>
          <w:b/>
          <w:bCs/>
          <w:color w:val="1C2430"/>
        </w:rPr>
        <w:t xml:space="preserve">Exigences non fonctionnelles</w:t>
      </w:r>
    </w:p>
    <w:tbl>
      <w:tblPr>
        <w:tblW w:type="pct" w:w="100%"/>
        <w:tblBorders>
          <w:top w:val="single" w:color="D7D6CC" w:sz="2"/>
          <w:left w:val="single" w:color="D7D6CC" w:sz="2"/>
          <w:bottom w:val="single" w:color="D7D6CC" w:sz="2"/>
          <w:right w:val="single" w:color="D7D6CC" w:sz="2"/>
          <w:insideH w:val="single" w:color="D7D6CC" w:sz="2"/>
          <w:insideV w:val="single" w:color="D7D6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1C24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pct" w:w="76%"/>
            <w:shd w:fill="1C24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Sécurité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Authentification obligatoire pour l'ensemble des fonctionnalités d'administration ; contrôle d'accès basé sur les rôles, appliqué côté interface et côté serveur ; jeton d'accès à durée de vie limitée, renouvelé via un jeton de rafraîchissement stocké de façon protégée (cookie non accessible en JavaScript).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Performance &amp; disponibilité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Recherche et filtrage instantanés côté client sur les écrans de liste ; détection en temps réel d'une perte de connexion ; sauvegarde et restauration locale de la saisie des notes en cas d'indisponibilité du réseau.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Compatibilité &amp; portabilité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Accessible depuis un navigateur web standard ; disponible sous forme d'application Android installable.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Ergonomie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Retour visuel systématique après chaque action via un système de notifications non bloquantes ; confirmation explicite requise avant toute action destructrice ; indicateur de chargement pendant les opérations d'écriture.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Internationalisation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Interface disponible en français et en anglais, avec bascule à la volée.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Maintenabilité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Organisation modulaire du code par domaine fonctionnel, documentée, afin de permettre l'ajout de nouveaux modules sans remettre en cause l'architecture existante.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57616F"/>
          <w:sz w:val="16"/>
          <w:szCs w:val="16"/>
        </w:rPr>
        <w:t xml:space="preserve">↑ Retour au sommaire</w:t>
      </w:r>
    </w:p>
    <w:p>
      <w:pPr>
        <w:pStyle w:val="Heading1"/>
        <w:pageBreakBefore/>
        <w:spacing w:after="240" w:before="0"/>
      </w:pPr>
      <w:r>
        <w:rPr>
          <w:rFonts w:ascii="Georgia" w:cs="Georgia" w:eastAsia="Georgia" w:hAnsi="Georgia"/>
          <w:b/>
          <w:bCs/>
          <w:color w:val="9C7A3C"/>
        </w:rPr>
        <w:t xml:space="preserve">05  </w:t>
      </w:r>
      <w:r>
        <w:rPr>
          <w:rFonts w:ascii="Georgia" w:cs="Georgia" w:eastAsia="Georgia" w:hAnsi="Georgia"/>
          <w:b/>
          <w:bCs/>
          <w:color w:val="1C2430"/>
        </w:rPr>
        <w:t xml:space="preserve">Architecture technique</w:t>
      </w:r>
    </w:p>
    <w:p>
      <w:pPr>
        <w:pStyle w:val="Heading2"/>
        <w:pBdr>
          <w:bottom w:val="single" w:color="D7D6CC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5.1  </w:t>
      </w:r>
      <w:r>
        <w:rPr>
          <w:rFonts w:ascii="Georgia" w:cs="Georgia" w:eastAsia="Georgia" w:hAnsi="Georgia"/>
          <w:b/>
          <w:bCs/>
          <w:color w:val="1C2430"/>
        </w:rPr>
        <w:t xml:space="preserve">Vue d'ensemble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7616F"/>
          <w:sz w:val="17"/>
          <w:szCs w:val="17"/>
        </w:rPr>
        <w:t xml:space="preserve">Chaque requête précise un établissement via le paramètre connection ; le backend bascule dynamiquement la connexion par défaut de Laravel vers la base de données correspondante. Une seule base « tenant » est engagée par requête, en plus de la base commune (comptes, personnel), toujours interrogée.</w:t>
      </w:r>
    </w:p>
    <w:p>
      <w:pPr>
        <w:pStyle w:val="Heading2"/>
        <w:pBdr>
          <w:bottom w:val="single" w:color="D7D6CC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5.2  </w:t>
      </w:r>
      <w:r>
        <w:rPr>
          <w:rFonts w:ascii="Georgia" w:cs="Georgia" w:eastAsia="Georgia" w:hAnsi="Georgia"/>
          <w:b/>
          <w:bCs/>
          <w:color w:val="1C2430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Framework Laravel 11 (PHP 8.2+), exposant une API REST sous le préfixe /api.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Architecture multi-tenant à la connexion — chaque établissement dispose d'un schéma de base de données identique.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Authentification par JWT (jeton d'accès + jeton de rafraîchissement), avec middleware dédié au décodage du jeton et au contrôle des rôles.</w:t>
      </w:r>
    </w:p>
    <w:p>
      <w:pPr>
        <w:pStyle w:val="Heading2"/>
        <w:pBdr>
          <w:bottom w:val="single" w:color="D7D6CC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5.3  </w:t>
      </w:r>
      <w:r>
        <w:rPr>
          <w:rFonts w:ascii="Georgia" w:cs="Georgia" w:eastAsia="Georgia" w:hAnsi="Georgia"/>
          <w:b/>
          <w:bCs/>
          <w:color w:val="1C2430"/>
        </w:rPr>
        <w:t xml:space="preserve">Frontend web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React 19 avec TypeScript, construit avec Vite.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Consommation de l'API via des modules dédiés par domaine fonctionnel ; gestion de session en mémoire côté client, restaurée automatiquement via le jeton de rafraîchissement.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Mise en forme avec TailwindCSS/DaisyUI.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Génération de documents : jsPDF (+ jspdf-autotable) pour les PDF, ExcelJS pour les classeurs Excel multi-feuilles.</w:t>
      </w:r>
    </w:p>
    <w:p>
      <w:pPr>
        <w:pStyle w:val="Heading2"/>
        <w:pBdr>
          <w:bottom w:val="single" w:color="D7D6CC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5.4  </w:t>
      </w:r>
      <w:r>
        <w:rPr>
          <w:rFonts w:ascii="Georgia" w:cs="Georgia" w:eastAsia="Georgia" w:hAnsi="Georgia"/>
          <w:b/>
          <w:bCs/>
          <w:color w:val="1C2430"/>
        </w:rPr>
        <w:t xml:space="preserve">Application mobile</w:t>
      </w:r>
    </w:p>
    <w:p>
      <w:pPr>
        <w:spacing w:after="160"/>
      </w:pPr>
      <w:r>
        <w:rPr>
          <w:rFonts w:ascii="Cambria" w:cs="Cambria" w:eastAsia="Cambria" w:hAnsi="Cambria"/>
        </w:rPr>
        <w:t xml:space="preserve">Empaquetage de l'application web via Capacitor, ciblant Android.</w:t>
      </w:r>
    </w:p>
    <w:p>
      <w:pPr>
        <w:pStyle w:val="Heading2"/>
        <w:pBdr>
          <w:bottom w:val="single" w:color="D7D6CC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5.5  </w:t>
      </w:r>
      <w:r>
        <w:rPr>
          <w:rFonts w:ascii="Georgia" w:cs="Georgia" w:eastAsia="Georgia" w:hAnsi="Georgia"/>
          <w:b/>
          <w:bCs/>
          <w:color w:val="1C2430"/>
        </w:rPr>
        <w:t xml:space="preserve">Modèle de données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Une base de données par établissement, répliquant le même schéma (années scolaires, classes, élèves, personnel, matières, notes, ...).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Une base transverse pour les données communes (comptes utilisateurs, personnel, liaison des comptes élèves).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57616F"/>
          <w:sz w:val="16"/>
          <w:szCs w:val="16"/>
        </w:rPr>
        <w:t xml:space="preserve">↑ Retour au sommaire</w:t>
      </w:r>
    </w:p>
    <w:p>
      <w:pPr>
        <w:pStyle w:val="Heading1"/>
        <w:pageBreakBefore/>
        <w:spacing w:after="240" w:before="0"/>
      </w:pPr>
      <w:r>
        <w:rPr>
          <w:rFonts w:ascii="Georgia" w:cs="Georgia" w:eastAsia="Georgia" w:hAnsi="Georgia"/>
          <w:b/>
          <w:bCs/>
          <w:color w:val="9C7A3C"/>
        </w:rPr>
        <w:t xml:space="preserve">06  </w:t>
      </w:r>
      <w:r>
        <w:rPr>
          <w:rFonts w:ascii="Georgia" w:cs="Georgia" w:eastAsia="Georgia" w:hAnsi="Georgia"/>
          <w:b/>
          <w:bCs/>
          <w:color w:val="1C2430"/>
        </w:rPr>
        <w:t xml:space="preserve">Contraintes et limites connues</w:t>
      </w:r>
    </w:p>
    <w:p>
      <w:pPr>
        <w:spacing w:after="160"/>
      </w:pPr>
      <w:r>
        <w:rPr>
          <w:rFonts w:ascii="Cambria" w:cs="Cambria" w:eastAsia="Cambria" w:hAnsi="Cambria"/>
          <w:i/>
          <w:iCs/>
          <w:color w:val="57616F"/>
          <w:sz w:val="21"/>
          <w:szCs w:val="21"/>
        </w:rPr>
        <w:t xml:space="preserve">Limites assumées à ce stade du projet, listées ici par transparence plutôt que masquées.</w:t>
      </w:r>
    </w:p>
    <w:p>
      <w:pPr>
        <w:pStyle w:val="ListParagraph"/>
        <w:numPr>
          <w:ilvl w:val="0"/>
          <w:numId w:val="1"/>
        </w:numPr>
        <w:pBdr>
          <w:left w:val="single" w:color="9C7A3C" w:sz="18" w:space="10"/>
        </w:pBdr>
        <w:shd w:fill="FAFAF7" w:val="clear"/>
        <w:spacing w:after="100"/>
      </w:pPr>
      <w:r>
        <w:rPr>
          <w:rFonts w:ascii="Cambria" w:cs="Cambria" w:eastAsia="Cambria" w:hAnsi="Cambria"/>
          <w:color w:val="1C2430"/>
        </w:rPr>
        <w:t xml:space="preserve">Le backend est actuellement hébergé sous XAMPP/Apache, et non via un serveur applicatif autonome.</w:t>
      </w:r>
    </w:p>
    <w:p>
      <w:pPr>
        <w:pStyle w:val="ListParagraph"/>
        <w:numPr>
          <w:ilvl w:val="0"/>
          <w:numId w:val="1"/>
        </w:numPr>
        <w:pBdr>
          <w:left w:val="single" w:color="9C7A3C" w:sz="18" w:space="10"/>
        </w:pBdr>
        <w:shd w:fill="FAFAF7" w:val="clear"/>
        <w:spacing w:after="100"/>
      </w:pPr>
      <w:r>
        <w:rPr>
          <w:rFonts w:ascii="Cambria" w:cs="Cambria" w:eastAsia="Cambria" w:hAnsi="Cambria"/>
          <w:color w:val="1C2430"/>
        </w:rPr>
        <w:t xml:space="preserve">Le durcissement de la sécurité (authentification et contrôle des rôles) est en cours de généralisation : certains points d'accès historiques restent, à ce stade, non protégés.</w:t>
      </w:r>
    </w:p>
    <w:p>
      <w:pPr>
        <w:pStyle w:val="ListParagraph"/>
        <w:numPr>
          <w:ilvl w:val="0"/>
          <w:numId w:val="1"/>
        </w:numPr>
        <w:pBdr>
          <w:left w:val="single" w:color="9C7A3C" w:sz="18" w:space="10"/>
        </w:pBdr>
        <w:shd w:fill="FAFAF7" w:val="clear"/>
        <w:spacing w:after="100"/>
      </w:pPr>
      <w:r>
        <w:rPr>
          <w:rFonts w:ascii="Cambria" w:cs="Cambria" w:eastAsia="Cambria" w:hAnsi="Cambria"/>
          <w:color w:val="1C2430"/>
        </w:rPr>
        <w:t xml:space="preserve">Le stockage des mots de passe en clair sur certains comptes est une dette technique connue, à corriger dans une prochaine itération (hachage des mots de passe).</w:t>
      </w:r>
    </w:p>
    <w:p>
      <w:pPr>
        <w:pStyle w:val="ListParagraph"/>
        <w:numPr>
          <w:ilvl w:val="0"/>
          <w:numId w:val="1"/>
        </w:numPr>
        <w:pBdr>
          <w:left w:val="single" w:color="9C7A3C" w:sz="18" w:space="10"/>
        </w:pBdr>
        <w:shd w:fill="FAFAF7" w:val="clear"/>
        <w:spacing w:after="100"/>
      </w:pPr>
      <w:r>
        <w:rPr>
          <w:rFonts w:ascii="Cambria" w:cs="Cambria" w:eastAsia="Cambria" w:hAnsi="Cambria"/>
          <w:color w:val="1C2430"/>
        </w:rPr>
        <w:t xml:space="preserve">La documentation d'API (Swagger) est installée mais non encore renseignée.</w:t>
      </w:r>
    </w:p>
    <w:p>
      <w:pPr>
        <w:pStyle w:val="ListParagraph"/>
        <w:numPr>
          <w:ilvl w:val="0"/>
          <w:numId w:val="1"/>
        </w:numPr>
        <w:pBdr>
          <w:left w:val="single" w:color="9C7A3C" w:sz="18" w:space="10"/>
        </w:pBdr>
        <w:shd w:fill="FAFAF7" w:val="clear"/>
        <w:spacing w:after="100"/>
      </w:pPr>
      <w:r>
        <w:rPr>
          <w:rFonts w:ascii="Cambria" w:cs="Cambria" w:eastAsia="Cambria" w:hAnsi="Cambria"/>
          <w:color w:val="1C2430"/>
        </w:rPr>
        <w:t xml:space="preserve">Aucune contrainte d'intégrité déclarative (clés étrangères en cascade) n'existe au niveau de la base de données ; les suppressions en cascade sont gérées applicativement.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57616F"/>
          <w:sz w:val="16"/>
          <w:szCs w:val="16"/>
        </w:rPr>
        <w:t xml:space="preserve">↑ Retour au sommaire</w:t>
      </w:r>
    </w:p>
    <w:p>
      <w:pPr>
        <w:pStyle w:val="Heading1"/>
        <w:pageBreakBefore/>
        <w:spacing w:after="240" w:before="0"/>
      </w:pPr>
      <w:r>
        <w:rPr>
          <w:rFonts w:ascii="Georgia" w:cs="Georgia" w:eastAsia="Georgia" w:hAnsi="Georgia"/>
          <w:b/>
          <w:bCs/>
          <w:color w:val="9C7A3C"/>
        </w:rPr>
        <w:t xml:space="preserve">07  </w:t>
      </w:r>
      <w:r>
        <w:rPr>
          <w:rFonts w:ascii="Georgia" w:cs="Georgia" w:eastAsia="Georgia" w:hAnsi="Georgia"/>
          <w:b/>
          <w:bCs/>
          <w:color w:val="1C2430"/>
        </w:rPr>
        <w:t xml:space="preserve">Livrables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Code source du backend (API REST Laravel)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Code source du frontend web (React/TypeScript)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Projet Android généré (Capacitor)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Documentation technique (README, documentation d'architecture)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mbria" w:cs="Cambria" w:eastAsia="Cambria" w:hAnsi="Cambria"/>
        </w:rPr>
        <w:t xml:space="preserve">Présent cahier des charges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57616F"/>
          <w:sz w:val="16"/>
          <w:szCs w:val="16"/>
        </w:rPr>
        <w:t xml:space="preserve">↑ Retour au sommaire</w:t>
      </w:r>
    </w:p>
    <w:p>
      <w:pPr>
        <w:pStyle w:val="Heading1"/>
        <w:pageBreakBefore/>
        <w:spacing w:after="240" w:before="0"/>
      </w:pPr>
      <w:r>
        <w:rPr>
          <w:rFonts w:ascii="Georgia" w:cs="Georgia" w:eastAsia="Georgia" w:hAnsi="Georgia"/>
          <w:b/>
          <w:bCs/>
          <w:color w:val="9C7A3C"/>
        </w:rPr>
        <w:t xml:space="preserve">08  </w:t>
      </w:r>
      <w:r>
        <w:rPr>
          <w:rFonts w:ascii="Georgia" w:cs="Georgia" w:eastAsia="Georgia" w:hAnsi="Georgia"/>
          <w:b/>
          <w:bCs/>
          <w:color w:val="1C2430"/>
        </w:rPr>
        <w:t xml:space="preserve">Glossaire</w:t>
      </w:r>
    </w:p>
    <w:tbl>
      <w:tblPr>
        <w:tblW w:type="pct" w:w="100%"/>
        <w:tblBorders>
          <w:top w:val="single" w:color="D7D6CC" w:sz="2"/>
          <w:left w:val="single" w:color="D7D6CC" w:sz="2"/>
          <w:bottom w:val="single" w:color="D7D6CC" w:sz="2"/>
          <w:right w:val="single" w:color="D7D6CC" w:sz="2"/>
          <w:insideH w:val="single" w:color="D7D6CC" w:sz="2"/>
          <w:insideV w:val="single" w:color="D7D6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1C24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pct" w:w="82%"/>
            <w:shd w:fill="1C24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Multi-tenant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Architecture permettant à plusieurs établissements d'utiliser la même application tout en gardant des données isolées, ici via une base de données dédiée par établissement.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JWT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JSON Web Token — format de jeton utilisé pour authentifier un utilisateur sans nécessiter de session serveur classique.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APC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Approche Par Compétences — mode pédagogique où l'évaluation se fait par compétence plutôt que par séquence classique.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NC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Non Classifié — statut d'un élève n'ayant pas atteint le taux de participation minimal aux évaluations, selon le paramétrage de l'établissement.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RBAC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Role-Based Access Control — contrôle d'accès basé sur les rôles.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Connection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C2430"/>
                <w:sz w:val="20"/>
                <w:szCs w:val="20"/>
              </w:rPr>
              <w:t xml:space="preserve">Terme technique désignant, dans ce système, l'identifiant de l'établissement/de la base de données ciblée par une requête.</w:t>
            </w:r>
          </w:p>
        </w:tc>
      </w:tr>
    </w:tbl>
    <w:sectPr>
      <w:footerReference w:type="default" r:id="rId7"/>
      <w:pgSz w:w="11905" w:h="16837" w:orient="portrait"/>
      <w:pgMar w:top="1247" w:right="1360" w:bottom="1133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6CC" w:sz="2" w:space="6"/>
      </w:pBdr>
      <w:jc w:val="center"/>
    </w:pPr>
    <w:r>
      <w:rPr>
        <w:rFonts w:ascii="Calibri" w:cs="Calibri" w:eastAsia="Calibri" w:hAnsi="Calibri"/>
        <w:color w:val="57616F"/>
        <w:sz w:val="14"/>
        <w:szCs w:val="14"/>
      </w:rPr>
      <w:t xml:space="preserve">DMS ACAD — Cahier des charges  ·  </w:t>
    </w:r>
    <w:r>
      <w:rPr>
        <w:rFonts w:ascii="Calibri" w:cs="Calibri" w:eastAsia="Calibri" w:hAnsi="Calibri"/>
        <w:color w:val="57616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C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Georgia" w:cs="Georgia" w:eastAsia="Georgia" w:hAnsi="Georgia"/>
      <w:b/>
      <w:bCs/>
      <w:color w:val="1C24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Georgia" w:cs="Georgia" w:eastAsia="Georgia" w:hAnsi="Georgia"/>
      <w:b/>
      <w:bCs/>
      <w:color w:val="1C24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fd0f5101aba7f17fa8648c85daf604d6f903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DMS ACAD</dc:title>
  <dc:creator>Romeo Gabin</dc:creator>
  <dc:description>Cahier des charges du système de gestion académique multi-établissements DMS ACAD.</dc:description>
  <cp:lastModifiedBy>Un-named</cp:lastModifiedBy>
  <cp:revision>1</cp:revision>
  <dcterms:created xsi:type="dcterms:W3CDTF">2026-08-23T02:20:24.517Z</dcterms:created>
  <dcterms:modified xsi:type="dcterms:W3CDTF">2026-08-23T02:20:24.521Z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