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i w:val="0"/>
          <w:color w:val="1E293B"/>
          <w:sz w:val="44"/>
        </w:rPr>
        <w:t>FlexMoney — Vue d'ensemble technique &amp; fonctionnelle</w:t>
      </w:r>
    </w:p>
    <w:p>
      <w:pPr>
        <w:spacing w:after="400"/>
        <w:jc w:val="center"/>
      </w:pPr>
      <w:r>
        <w:rPr>
          <w:b w:val="0"/>
          <w:i/>
          <w:color w:val="64748B"/>
          <w:sz w:val="20"/>
        </w:rPr>
        <w:t>Document de référence interne · Juin 2026</w:t>
      </w:r>
    </w:p>
    <w:p>
      <w:pPr>
        <w:spacing w:before="360" w:after="120"/>
        <w:pBdr>
          <w:bottom w:val="single" w:sz="6" w:space="4" w:color="6366F1"/>
        </w:pBdr>
      </w:pPr>
      <w:r>
        <w:rPr>
          <w:b/>
          <w:i w:val="0"/>
          <w:color w:val="6366F1"/>
          <w:sz w:val="32"/>
        </w:rPr>
        <w:t>1. Stack technique &amp; coûts mensuels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984"/>
            <w:shd w:val="clear" w:color="auto" w:fill="1E293B"/>
          </w:tcPr>
          <w:p>
            <w:pPr>
              <w:jc w:val="center"/>
            </w:pPr>
            <w:r>
              <w:rPr>
                <w:b/>
                <w:i w:val="0"/>
                <w:color w:val="FFFFFF"/>
                <w:sz w:val="18"/>
              </w:rPr>
              <w:t>Outil</w:t>
            </w:r>
          </w:p>
        </w:tc>
        <w:tc>
          <w:tcPr>
            <w:tcW w:type="dxa" w:w="3118"/>
            <w:shd w:val="clear" w:color="auto" w:fill="1E293B"/>
          </w:tcPr>
          <w:p>
            <w:pPr>
              <w:jc w:val="center"/>
            </w:pPr>
            <w:r>
              <w:rPr>
                <w:b/>
                <w:i w:val="0"/>
                <w:color w:val="FFFFFF"/>
                <w:sz w:val="18"/>
              </w:rPr>
              <w:t>Rôle</w:t>
            </w:r>
          </w:p>
        </w:tc>
        <w:tc>
          <w:tcPr>
            <w:tcW w:type="dxa" w:w="1984"/>
            <w:shd w:val="clear" w:color="auto" w:fill="1E293B"/>
          </w:tcPr>
          <w:p>
            <w:pPr>
              <w:jc w:val="center"/>
            </w:pPr>
            <w:r>
              <w:rPr>
                <w:b/>
                <w:i w:val="0"/>
                <w:color w:val="FFFFFF"/>
                <w:sz w:val="18"/>
              </w:rPr>
              <w:t>Compte</w:t>
            </w:r>
          </w:p>
        </w:tc>
        <w:tc>
          <w:tcPr>
            <w:tcW w:type="dxa" w:w="1984"/>
            <w:shd w:val="clear" w:color="auto" w:fill="1E293B"/>
          </w:tcPr>
          <w:p>
            <w:pPr>
              <w:jc w:val="center"/>
            </w:pPr>
            <w:r>
              <w:rPr>
                <w:b/>
                <w:i w:val="0"/>
                <w:color w:val="FFFFFF"/>
                <w:sz w:val="18"/>
              </w:rPr>
              <w:t>Coût/mois</w:t>
            </w:r>
          </w:p>
        </w:tc>
      </w:tr>
      <w:tr>
        <w:tc>
          <w:tcPr>
            <w:tcW w:type="dxa" w:w="1984"/>
          </w:tcPr>
          <w:p>
            <w:r>
              <w:rPr>
                <w:b/>
                <w:i w:val="0"/>
                <w:sz w:val="19"/>
              </w:rPr>
              <w:t>Claude (Anthropic)</w:t>
            </w:r>
          </w:p>
        </w:tc>
        <w:tc>
          <w:tcPr>
            <w:tcW w:type="dxa" w:w="3118"/>
          </w:tcPr>
          <w:p>
            <w:r>
              <w:rPr>
                <w:b w:val="0"/>
                <w:i w:val="0"/>
                <w:sz w:val="19"/>
              </w:rPr>
              <w:t>Développement IA — code, logique, documents</w:t>
            </w:r>
          </w:p>
        </w:tc>
        <w:tc>
          <w:tcPr>
            <w:tcW w:type="dxa" w:w="1984"/>
          </w:tcPr>
          <w:p>
            <w:pPr>
              <w:jc w:val="center"/>
            </w:pPr>
            <w:r>
              <w:rPr>
                <w:b w:val="0"/>
                <w:i w:val="0"/>
                <w:sz w:val="19"/>
              </w:rPr>
              <w:t>demarcin.adrien@outlook.com</w:t>
            </w:r>
          </w:p>
        </w:tc>
        <w:tc>
          <w:tcPr>
            <w:tcW w:type="dxa" w:w="1984"/>
          </w:tcPr>
          <w:p>
            <w:pPr>
              <w:jc w:val="center"/>
            </w:pPr>
            <w:r>
              <w:rPr>
                <w:b w:val="0"/>
                <w:i w:val="0"/>
                <w:sz w:val="19"/>
              </w:rPr>
              <w:t>20,00 €</w:t>
            </w:r>
          </w:p>
        </w:tc>
      </w:tr>
      <w:tr>
        <w:tc>
          <w:tcPr>
            <w:tcW w:type="dxa" w:w="1984"/>
            <w:shd w:val="clear" w:color="auto" w:fill="F8FAFC"/>
          </w:tcPr>
          <w:p>
            <w:r>
              <w:rPr>
                <w:b/>
                <w:i w:val="0"/>
                <w:sz w:val="19"/>
              </w:rPr>
              <w:t>EmailJS</w:t>
            </w:r>
          </w:p>
        </w:tc>
        <w:tc>
          <w:tcPr>
            <w:tcW w:type="dxa" w:w="3118"/>
            <w:shd w:val="clear" w:color="auto" w:fill="F8FAFC"/>
          </w:tcPr>
          <w:p>
            <w:r>
              <w:rPr>
                <w:b w:val="0"/>
                <w:i w:val="0"/>
                <w:sz w:val="19"/>
              </w:rPr>
              <w:t>Emails automatiques (candidatures, compliance, heures)</w:t>
            </w:r>
          </w:p>
        </w:tc>
        <w:tc>
          <w:tcPr>
            <w:tcW w:type="dxa" w:w="1984"/>
            <w:shd w:val="clear" w:color="auto" w:fill="F8FAFC"/>
          </w:tcPr>
          <w:p>
            <w:pPr>
              <w:jc w:val="center"/>
            </w:pPr>
            <w:r>
              <w:rPr>
                <w:b w:val="0"/>
                <w:i w:val="0"/>
                <w:sz w:val="19"/>
              </w:rPr>
              <w:t>contact.flexmoney@gmail.com</w:t>
              <w:br/>
              <w:t>Code: daniel moquet</w:t>
            </w:r>
          </w:p>
        </w:tc>
        <w:tc>
          <w:tcPr>
            <w:tcW w:type="dxa" w:w="1984"/>
            <w:shd w:val="clear" w:color="auto" w:fill="F8FAFC"/>
          </w:tcPr>
          <w:p>
            <w:pPr>
              <w:jc w:val="center"/>
            </w:pPr>
            <w:r>
              <w:rPr>
                <w:b w:val="0"/>
                <w:i w:val="0"/>
                <w:sz w:val="19"/>
              </w:rPr>
              <w:t>13,00 €</w:t>
            </w:r>
          </w:p>
        </w:tc>
      </w:tr>
      <w:tr>
        <w:tc>
          <w:tcPr>
            <w:tcW w:type="dxa" w:w="1984"/>
          </w:tcPr>
          <w:p>
            <w:r>
              <w:rPr>
                <w:b/>
                <w:i w:val="0"/>
                <w:sz w:val="19"/>
              </w:rPr>
              <w:t>Combell</w:t>
            </w:r>
          </w:p>
        </w:tc>
        <w:tc>
          <w:tcPr>
            <w:tcW w:type="dxa" w:w="3118"/>
          </w:tcPr>
          <w:p>
            <w:r>
              <w:rPr>
                <w:b w:val="0"/>
                <w:i w:val="0"/>
                <w:sz w:val="19"/>
              </w:rPr>
              <w:t>Nom de domaine flexmoney.be</w:t>
            </w:r>
          </w:p>
        </w:tc>
        <w:tc>
          <w:tcPr>
            <w:tcW w:type="dxa" w:w="1984"/>
          </w:tcPr>
          <w:p>
            <w:pPr>
              <w:jc w:val="center"/>
            </w:pPr>
            <w:r>
              <w:rPr>
                <w:b w:val="0"/>
                <w:i w:val="0"/>
                <w:sz w:val="19"/>
              </w:rPr>
              <w:t>demarcin.adrien@outlook.com</w:t>
            </w:r>
          </w:p>
        </w:tc>
        <w:tc>
          <w:tcPr>
            <w:tcW w:type="dxa" w:w="1984"/>
          </w:tcPr>
          <w:p>
            <w:pPr>
              <w:jc w:val="center"/>
            </w:pPr>
            <w:r>
              <w:rPr>
                <w:b w:val="0"/>
                <w:i w:val="0"/>
                <w:sz w:val="19"/>
              </w:rPr>
              <w:t>~1,00 € *</w:t>
            </w:r>
          </w:p>
        </w:tc>
      </w:tr>
      <w:tr>
        <w:tc>
          <w:tcPr>
            <w:tcW w:type="dxa" w:w="1984"/>
            <w:shd w:val="clear" w:color="auto" w:fill="F8FAFC"/>
          </w:tcPr>
          <w:p>
            <w:r>
              <w:rPr>
                <w:b/>
                <w:i w:val="0"/>
                <w:sz w:val="19"/>
              </w:rPr>
              <w:t>Supabase</w:t>
            </w:r>
          </w:p>
        </w:tc>
        <w:tc>
          <w:tcPr>
            <w:tcW w:type="dxa" w:w="3118"/>
            <w:shd w:val="clear" w:color="auto" w:fill="F8FAFC"/>
          </w:tcPr>
          <w:p>
            <w:r>
              <w:rPr>
                <w:b w:val="0"/>
                <w:i w:val="0"/>
                <w:sz w:val="19"/>
              </w:rPr>
              <w:t>Base de données + stockage fichiers (compliance-docs)</w:t>
            </w:r>
          </w:p>
        </w:tc>
        <w:tc>
          <w:tcPr>
            <w:tcW w:type="dxa" w:w="1984"/>
            <w:shd w:val="clear" w:color="auto" w:fill="F8FAFC"/>
          </w:tcPr>
          <w:p>
            <w:pPr>
              <w:jc w:val="center"/>
            </w:pPr>
            <w:r>
              <w:rPr>
                <w:b w:val="0"/>
                <w:i w:val="0"/>
                <w:sz w:val="19"/>
              </w:rPr>
              <w:t>—</w:t>
            </w:r>
          </w:p>
        </w:tc>
        <w:tc>
          <w:tcPr>
            <w:tcW w:type="dxa" w:w="1984"/>
            <w:shd w:val="clear" w:color="auto" w:fill="F8FAFC"/>
          </w:tcPr>
          <w:p>
            <w:pPr>
              <w:jc w:val="center"/>
            </w:pPr>
            <w:r>
              <w:rPr>
                <w:b w:val="0"/>
                <w:i w:val="0"/>
                <w:sz w:val="19"/>
              </w:rPr>
              <w:t>Gratuit</w:t>
            </w:r>
          </w:p>
        </w:tc>
      </w:tr>
      <w:tr>
        <w:tc>
          <w:tcPr>
            <w:tcW w:type="dxa" w:w="1984"/>
          </w:tcPr>
          <w:p>
            <w:r>
              <w:rPr>
                <w:b/>
                <w:i w:val="0"/>
                <w:sz w:val="19"/>
              </w:rPr>
              <w:t>GitHub</w:t>
            </w:r>
          </w:p>
        </w:tc>
        <w:tc>
          <w:tcPr>
            <w:tcW w:type="dxa" w:w="3118"/>
          </w:tcPr>
          <w:p>
            <w:r>
              <w:rPr>
                <w:b w:val="0"/>
                <w:i w:val="0"/>
                <w:sz w:val="19"/>
              </w:rPr>
              <w:t>Dépôt de code source</w:t>
            </w:r>
          </w:p>
        </w:tc>
        <w:tc>
          <w:tcPr>
            <w:tcW w:type="dxa" w:w="1984"/>
          </w:tcPr>
          <w:p>
            <w:pPr>
              <w:jc w:val="center"/>
            </w:pPr>
            <w:r>
              <w:rPr>
                <w:b w:val="0"/>
                <w:i w:val="0"/>
                <w:sz w:val="19"/>
              </w:rPr>
              <w:t>—</w:t>
            </w:r>
          </w:p>
        </w:tc>
        <w:tc>
          <w:tcPr>
            <w:tcW w:type="dxa" w:w="1984"/>
          </w:tcPr>
          <w:p>
            <w:pPr>
              <w:jc w:val="center"/>
            </w:pPr>
            <w:r>
              <w:rPr>
                <w:b w:val="0"/>
                <w:i w:val="0"/>
                <w:sz w:val="19"/>
              </w:rPr>
              <w:t>Gratuit</w:t>
            </w:r>
          </w:p>
        </w:tc>
      </w:tr>
      <w:tr>
        <w:tc>
          <w:tcPr>
            <w:tcW w:type="dxa" w:w="1984"/>
            <w:shd w:val="clear" w:color="auto" w:fill="F8FAFC"/>
          </w:tcPr>
          <w:p>
            <w:r>
              <w:rPr>
                <w:b/>
                <w:i w:val="0"/>
                <w:sz w:val="19"/>
              </w:rPr>
              <w:t>Vercel</w:t>
            </w:r>
          </w:p>
        </w:tc>
        <w:tc>
          <w:tcPr>
            <w:tcW w:type="dxa" w:w="3118"/>
            <w:shd w:val="clear" w:color="auto" w:fill="F8FAFC"/>
          </w:tcPr>
          <w:p>
            <w:r>
              <w:rPr>
                <w:b w:val="0"/>
                <w:i w:val="0"/>
                <w:sz w:val="19"/>
              </w:rPr>
              <w:t>Hébergement du site en production (auto-deploy)</w:t>
            </w:r>
          </w:p>
        </w:tc>
        <w:tc>
          <w:tcPr>
            <w:tcW w:type="dxa" w:w="1984"/>
            <w:shd w:val="clear" w:color="auto" w:fill="F8FAFC"/>
          </w:tcPr>
          <w:p>
            <w:pPr>
              <w:jc w:val="center"/>
            </w:pPr>
            <w:r>
              <w:rPr>
                <w:b w:val="0"/>
                <w:i w:val="0"/>
                <w:sz w:val="19"/>
              </w:rPr>
              <w:t>—</w:t>
            </w:r>
          </w:p>
        </w:tc>
        <w:tc>
          <w:tcPr>
            <w:tcW w:type="dxa" w:w="1984"/>
            <w:shd w:val="clear" w:color="auto" w:fill="F8FAFC"/>
          </w:tcPr>
          <w:p>
            <w:pPr>
              <w:jc w:val="center"/>
            </w:pPr>
            <w:r>
              <w:rPr>
                <w:b w:val="0"/>
                <w:i w:val="0"/>
                <w:sz w:val="19"/>
              </w:rPr>
              <w:t>Gratuit</w:t>
            </w:r>
          </w:p>
        </w:tc>
      </w:tr>
    </w:tbl>
    <w:p/>
    <w:p>
      <w:pPr>
        <w:spacing w:after="280"/>
      </w:pPr>
      <w:r>
        <w:rPr>
          <w:b w:val="0"/>
          <w:i/>
          <w:color w:val="64748B"/>
          <w:sz w:val="18"/>
        </w:rPr>
        <w:t>* Combell : 12,098 € / an = ~1,01 €/mois   |   Total mensuel estimé : ~34 €/mois</w:t>
      </w:r>
    </w:p>
    <w:p>
      <w:pPr>
        <w:spacing w:before="360" w:after="120"/>
        <w:pBdr>
          <w:bottom w:val="single" w:sz="6" w:space="4" w:color="6366F1"/>
        </w:pBdr>
      </w:pPr>
      <w:r>
        <w:rPr>
          <w:b/>
          <w:i w:val="0"/>
          <w:color w:val="6366F1"/>
          <w:sz w:val="32"/>
        </w:rPr>
        <w:t>2. Architecture de la plateforme</w:t>
      </w:r>
    </w:p>
    <w:p>
      <w:pPr>
        <w:spacing w:after="80"/>
      </w:pPr>
      <w:r>
        <w:rPr>
          <w:b w:val="0"/>
          <w:i w:val="0"/>
          <w:sz w:val="21"/>
        </w:rPr>
        <w:t>FlexMoney est un site statique hébergé sur Vercel. Il n'y a pas de serveur backend : toutes les pages sont en HTML/JavaScript pur. Les données transitent directement entre le navigateur de l'utilisateur et Supabase (base de données) ou EmailJS (emails). Le code source est versionné sur GitHub et tout push déclenche automatiquement un déploiement sur Vercel.</w:t>
      </w:r>
    </w:p>
    <w:p/>
    <w:p>
      <w:pPr>
        <w:spacing w:before="200" w:after="60"/>
      </w:pPr>
      <w:r>
        <w:rPr>
          <w:b/>
          <w:i w:val="0"/>
          <w:color w:val="1E293B"/>
          <w:sz w:val="24"/>
        </w:rPr>
        <w:t>Flux de données</w:t>
      </w:r>
    </w:p>
    <w:p>
      <w:pPr>
        <w:pStyle w:val="ListBullet"/>
        <w:spacing w:after="40"/>
      </w:pPr>
      <w:r>
        <w:rPr>
          <w:b/>
          <w:i w:val="0"/>
          <w:sz w:val="21"/>
        </w:rPr>
        <w:t>Navigateur → Supabase :</w:t>
      </w:r>
      <w:r>
        <w:rPr>
          <w:b w:val="0"/>
          <w:i w:val="0"/>
          <w:sz w:val="21"/>
        </w:rPr>
        <w:t xml:space="preserve"> lecture et écriture de toutes les données (inscriptions, missions, candidatures, dossiers DIMONA, déclarations d'heures)</w:t>
      </w:r>
    </w:p>
    <w:p>
      <w:pPr>
        <w:pStyle w:val="ListBullet"/>
        <w:spacing w:after="40"/>
      </w:pPr>
      <w:r>
        <w:rPr>
          <w:b w:val="0"/>
          <w:i w:val="0"/>
          <w:sz w:val="21"/>
        </w:rPr>
        <w:t>Navigateur → EmailJS → Gmail (contact.flexmoney@gmail.com) : envoi d'emails automatiques depuis le compte Gmail de la plateforme</w:t>
      </w:r>
    </w:p>
    <w:p>
      <w:pPr>
        <w:pStyle w:val="ListBullet"/>
        <w:spacing w:after="40"/>
      </w:pPr>
      <w:r>
        <w:rPr>
          <w:b/>
          <w:i w:val="0"/>
          <w:sz w:val="21"/>
        </w:rPr>
        <w:t>GitHub → Vercel :</w:t>
      </w:r>
      <w:r>
        <w:rPr>
          <w:b w:val="0"/>
          <w:i w:val="0"/>
          <w:sz w:val="21"/>
        </w:rPr>
        <w:t xml:space="preserve"> chaque git push origin master:main déclenche un nouveau déploiement automatique en 1-2 minutes</w:t>
      </w:r>
    </w:p>
    <w:p>
      <w:pPr>
        <w:pStyle w:val="ListBullet"/>
        <w:spacing w:after="40"/>
      </w:pPr>
      <w:r>
        <w:rPr>
          <w:b w:val="0"/>
          <w:i w:val="0"/>
          <w:sz w:val="21"/>
        </w:rPr>
        <w:t>Supabase Storage (bucket compliance-docs) : stockage privé des documents uploadés par les travailleurs (PDF, JPG, PNG — max 5 MB)</w:t>
      </w:r>
    </w:p>
    <w:p/>
    <w:p>
      <w:pPr>
        <w:spacing w:before="360" w:after="120"/>
        <w:pBdr>
          <w:bottom w:val="single" w:sz="6" w:space="4" w:color="6366F1"/>
        </w:pBdr>
      </w:pPr>
      <w:r>
        <w:rPr>
          <w:b/>
          <w:i w:val="0"/>
          <w:color w:val="6366F1"/>
          <w:sz w:val="32"/>
        </w:rPr>
        <w:t>3. Pages de la plateforme et leur rôle</w:t>
      </w:r>
    </w:p>
    <w:p>
      <w:pPr>
        <w:spacing w:before="120" w:after="120"/>
        <w:ind w:left="227"/>
        <w:pBdr>
          <w:left w:val="single" w:sz="12" w:space="8" w:color="6366F1"/>
        </w:pBdr>
      </w:pPr>
      <w:r>
        <w:rPr>
          <w:b/>
          <w:i w:val="0"/>
          <w:color w:val="6366F1"/>
          <w:sz w:val="19"/>
        </w:rPr>
        <w:t>inscription-travailleur.html</w:t>
        <w:br/>
        <w:t>inscription-employeur.html</w:t>
        <w:br/>
      </w:r>
      <w:r>
        <w:rPr>
          <w:b w:val="0"/>
          <w:i w:val="0"/>
          <w:color w:val="334155"/>
          <w:sz w:val="20"/>
        </w:rPr>
        <w:t>Inscription légère sans données légales (NISS, IBAN) pour éviter la friction. Enregistrement dans les tables Supabase workers_inscription et employers_inscription.</w:t>
      </w:r>
    </w:p>
    <w:p>
      <w:pPr>
        <w:spacing w:before="120" w:after="120"/>
        <w:ind w:left="227"/>
        <w:pBdr>
          <w:left w:val="single" w:sz="12" w:space="8" w:color="6366F1"/>
        </w:pBdr>
      </w:pPr>
      <w:r>
        <w:rPr>
          <w:b/>
          <w:i w:val="0"/>
          <w:color w:val="6366F1"/>
          <w:sz w:val="19"/>
        </w:rPr>
        <w:t>tableau-missions.html</w:t>
        <w:br/>
      </w:r>
      <w:r>
        <w:rPr>
          <w:b w:val="0"/>
          <w:i w:val="0"/>
          <w:color w:val="334155"/>
          <w:sz w:val="20"/>
        </w:rPr>
        <w:t>Marketplace côté travailleur. Affiche les missions publiées avec filtres. Le travailleur postule en choisissant le type de contrat (Journée de test = DIMONA journalière orale, ou Mission récurrente = contrat écrit trimestriel). La candidature est enregistrée dans la table candidatures.</w:t>
      </w:r>
    </w:p>
    <w:p>
      <w:pPr>
        <w:spacing w:before="120" w:after="120"/>
        <w:ind w:left="227"/>
        <w:pBdr>
          <w:left w:val="single" w:sz="12" w:space="8" w:color="6366F1"/>
        </w:pBdr>
      </w:pPr>
      <w:r>
        <w:rPr>
          <w:b/>
          <w:i w:val="0"/>
          <w:color w:val="6366F1"/>
          <w:sz w:val="19"/>
        </w:rPr>
        <w:t>dashboard-employeur.html</w:t>
        <w:br/>
      </w:r>
      <w:r>
        <w:rPr>
          <w:b w:val="0"/>
          <w:i w:val="0"/>
          <w:color w:val="334155"/>
          <w:sz w:val="20"/>
        </w:rPr>
        <w:t>Vue centrale de l'employeur. Il voit ses missions, les candidatures reçues (Accepter / Refuser) et les déclarations d'heures à traiter. Quand il accepte une candidature, EmailJS envoie automatiquement au travailleur le lien vers le formulaire compliance.</w:t>
      </w:r>
    </w:p>
    <w:p>
      <w:pPr>
        <w:spacing w:before="120" w:after="120"/>
        <w:ind w:left="227"/>
        <w:pBdr>
          <w:left w:val="single" w:sz="12" w:space="8" w:color="6366F1"/>
        </w:pBdr>
      </w:pPr>
      <w:r>
        <w:rPr>
          <w:b/>
          <w:i w:val="0"/>
          <w:color w:val="6366F1"/>
          <w:sz w:val="19"/>
        </w:rPr>
        <w:t>compliance.html</w:t>
        <w:br/>
      </w:r>
      <w:r>
        <w:rPr>
          <w:b w:val="0"/>
          <w:i w:val="0"/>
          <w:color w:val="334155"/>
          <w:sz w:val="20"/>
        </w:rPr>
        <w:t>Formulaire en 4 étapes déclenché après l'acceptation. Collecte : identité + NISS, statut d'éligibilité (salarié 4/5e, pensionné, indépendant), upload d'un document justificatif, et IBAN. Données sauvegardées dans dimona_dossiers. À la fin, EmailJS envoie à l'employeur le lien vers le Dossier Jour J.</w:t>
      </w:r>
    </w:p>
    <w:p>
      <w:pPr>
        <w:spacing w:before="120" w:after="120"/>
        <w:ind w:left="227"/>
        <w:pBdr>
          <w:left w:val="single" w:sz="12" w:space="8" w:color="6366F1"/>
        </w:pBdr>
      </w:pPr>
      <w:r>
        <w:rPr>
          <w:b/>
          <w:i w:val="0"/>
          <w:color w:val="6366F1"/>
          <w:sz w:val="19"/>
        </w:rPr>
        <w:t>dossier-jour-j.html</w:t>
        <w:br/>
      </w:r>
      <w:r>
        <w:rPr>
          <w:b w:val="0"/>
          <w:i w:val="0"/>
          <w:color w:val="334155"/>
          <w:sz w:val="20"/>
        </w:rPr>
        <w:t>Page accessible via ?cid=xxx. Charge toutes les données Supabase et génère 3 documents imprimables : (1) Contrat cadre flexi-job (toujours), (2) Contrat de travail trimestriel (missions récurrentes uniquement), (3) Fiche DIMONA FLX pré-remplie. L'employeur imprime et soumet la DIMONA sur socialsecurity.be avant le début du shift.</w:t>
      </w:r>
    </w:p>
    <w:p>
      <w:pPr>
        <w:spacing w:before="120" w:after="120"/>
        <w:ind w:left="227"/>
        <w:pBdr>
          <w:left w:val="single" w:sz="12" w:space="8" w:color="6366F1"/>
        </w:pBdr>
      </w:pPr>
      <w:r>
        <w:rPr>
          <w:b/>
          <w:i w:val="0"/>
          <w:color w:val="6366F1"/>
          <w:sz w:val="19"/>
        </w:rPr>
        <w:t>declaration-heures.html</w:t>
        <w:br/>
      </w:r>
      <w:r>
        <w:rPr>
          <w:b w:val="0"/>
          <w:i w:val="0"/>
          <w:color w:val="334155"/>
          <w:sz w:val="20"/>
        </w:rPr>
        <w:t>Page travailleur après la journée de travail (lien ?cid=xxx). Heures pré-remplies depuis le contrat/DIMONA, ajustables. À la soumission, EmailJS envoie à l'employeur un récapitulatif complet (heures, taux, pécule, cotisation, coût total). Acceptation automatique sous 48h sauf contestation. En cas de contestation, le travailleur reçoit le motif + lien pour corriger et re-soumettre.</w:t>
      </w:r>
    </w:p>
    <w:p>
      <w:pPr>
        <w:spacing w:before="120" w:after="120"/>
        <w:ind w:left="227"/>
        <w:pBdr>
          <w:left w:val="single" w:sz="12" w:space="8" w:color="6366F1"/>
        </w:pBdr>
      </w:pPr>
      <w:r>
        <w:rPr>
          <w:b/>
          <w:i w:val="0"/>
          <w:color w:val="6366F1"/>
          <w:sz w:val="19"/>
        </w:rPr>
        <w:t>contrat-flexi.html</w:t>
        <w:br/>
      </w:r>
      <w:r>
        <w:rPr>
          <w:b w:val="0"/>
          <w:i w:val="0"/>
          <w:color w:val="334155"/>
          <w:sz w:val="20"/>
        </w:rPr>
        <w:t>Générateur de contrat flexi-job standalone (outil existant). Permet de pré-remplir et imprimer un contrat de travail flexi conforme à la loi du 12 mai 2026. Utilisé comme base pour le contrat cadre du Dossier Jour J.</w:t>
      </w:r>
    </w:p>
    <w:p>
      <w:r>
        <w:br w:type="page"/>
      </w:r>
    </w:p>
    <w:p>
      <w:pPr>
        <w:spacing w:before="360" w:after="120"/>
        <w:pBdr>
          <w:bottom w:val="single" w:sz="6" w:space="4" w:color="6366F1"/>
        </w:pBdr>
      </w:pPr>
      <w:r>
        <w:rPr>
          <w:b/>
          <w:i w:val="0"/>
          <w:color w:val="6366F1"/>
          <w:sz w:val="32"/>
        </w:rPr>
        <w:t>4. Le process complet — de l'inscription au paiement</w:t>
      </w:r>
    </w:p>
    <w:p>
      <w:pPr>
        <w:spacing w:before="160" w:after="40"/>
      </w:pPr>
      <w:r>
        <w:rPr>
          <w:b/>
          <w:i w:val="0"/>
          <w:color w:val="6366F1"/>
          <w:sz w:val="26"/>
        </w:rPr>
        <w:t xml:space="preserve">①  </w:t>
      </w:r>
      <w:r>
        <w:rPr>
          <w:b/>
          <w:i w:val="0"/>
          <w:color w:val="1E293B"/>
          <w:sz w:val="24"/>
        </w:rPr>
        <w:t>Inscription</w:t>
      </w:r>
    </w:p>
    <w:p>
      <w:pPr>
        <w:spacing w:after="120"/>
        <w:ind w:left="567"/>
      </w:pPr>
      <w:r>
        <w:rPr>
          <w:b w:val="0"/>
          <w:i w:val="0"/>
          <w:color w:val="475569"/>
          <w:sz w:val="21"/>
        </w:rPr>
        <w:t>L'employeur et le travailleur créent leur profil. Aucune donnée légale à ce stade — on veut rendre l'entrée dans la plateforme la plus fluide possible.</w:t>
      </w:r>
    </w:p>
    <w:p>
      <w:pPr>
        <w:spacing w:before="160" w:after="40"/>
      </w:pPr>
      <w:r>
        <w:rPr>
          <w:b/>
          <w:i w:val="0"/>
          <w:color w:val="6366F1"/>
          <w:sz w:val="26"/>
        </w:rPr>
        <w:t xml:space="preserve">②  </w:t>
      </w:r>
      <w:r>
        <w:rPr>
          <w:b/>
          <w:i w:val="0"/>
          <w:color w:val="1E293B"/>
          <w:sz w:val="24"/>
        </w:rPr>
        <w:t>Publication de mission</w:t>
      </w:r>
    </w:p>
    <w:p>
      <w:pPr>
        <w:spacing w:after="120"/>
        <w:ind w:left="567"/>
      </w:pPr>
      <w:r>
        <w:rPr>
          <w:b w:val="0"/>
          <w:i w:val="0"/>
          <w:color w:val="475569"/>
          <w:sz w:val="21"/>
        </w:rPr>
        <w:t>L'employeur publie une mission dans son dashboard : titre, secteur, commission paritaire, taux horaire (minimum légal 11,87 €/h depuis le 01/03/2026), dates, compétences requises.</w:t>
      </w:r>
    </w:p>
    <w:p>
      <w:pPr>
        <w:spacing w:before="160" w:after="40"/>
      </w:pPr>
      <w:r>
        <w:rPr>
          <w:b/>
          <w:i w:val="0"/>
          <w:color w:val="6366F1"/>
          <w:sz w:val="26"/>
        </w:rPr>
        <w:t xml:space="preserve">③  </w:t>
      </w:r>
      <w:r>
        <w:rPr>
          <w:b/>
          <w:i w:val="0"/>
          <w:color w:val="1E293B"/>
          <w:sz w:val="24"/>
        </w:rPr>
        <w:t>Candidature</w:t>
      </w:r>
    </w:p>
    <w:p>
      <w:pPr>
        <w:spacing w:after="120"/>
        <w:ind w:left="567"/>
      </w:pPr>
      <w:r>
        <w:rPr>
          <w:b w:val="0"/>
          <w:i w:val="0"/>
          <w:color w:val="475569"/>
          <w:sz w:val="21"/>
        </w:rPr>
        <w:t>Le travailleur parcourt le marketplace et postule. Il choisit le type de contrat : Journée de test (DIMONA orale journalière — heure début + fin obligatoires) ou Mission récurrente (contrat écrit trimestriel). La candidature arrive dans le dashboard employeur avec statut "en attente".</w:t>
      </w:r>
    </w:p>
    <w:p>
      <w:pPr>
        <w:spacing w:before="160" w:after="40"/>
      </w:pPr>
      <w:r>
        <w:rPr>
          <w:b/>
          <w:i w:val="0"/>
          <w:color w:val="6366F1"/>
          <w:sz w:val="26"/>
        </w:rPr>
        <w:t xml:space="preserve">④  </w:t>
      </w:r>
      <w:r>
        <w:rPr>
          <w:b/>
          <w:i w:val="0"/>
          <w:color w:val="1E293B"/>
          <w:sz w:val="24"/>
        </w:rPr>
        <w:t>Acceptation</w:t>
      </w:r>
    </w:p>
    <w:p>
      <w:pPr>
        <w:spacing w:after="120"/>
        <w:ind w:left="567"/>
      </w:pPr>
      <w:r>
        <w:rPr>
          <w:b w:val="0"/>
          <w:i w:val="0"/>
          <w:color w:val="475569"/>
          <w:sz w:val="21"/>
        </w:rPr>
        <w:t>L'employeur accepte la candidature. EmailJS envoie immédiatement au travailleur un email (depuis contact.flexmoney@gmail.com) avec le lien vers compliance.html?cid=xxx. La candidature passe au statut "acceptée".</w:t>
      </w:r>
    </w:p>
    <w:p>
      <w:pPr>
        <w:spacing w:before="160" w:after="40"/>
      </w:pPr>
      <w:r>
        <w:rPr>
          <w:b/>
          <w:i w:val="0"/>
          <w:color w:val="6366F1"/>
          <w:sz w:val="26"/>
        </w:rPr>
        <w:t xml:space="preserve">⑤  </w:t>
      </w:r>
      <w:r>
        <w:rPr>
          <w:b/>
          <w:i w:val="0"/>
          <w:color w:val="1E293B"/>
          <w:sz w:val="24"/>
        </w:rPr>
        <w:t>Conformité DIMONA (compliance)</w:t>
      </w:r>
    </w:p>
    <w:p>
      <w:pPr>
        <w:spacing w:after="120"/>
        <w:ind w:left="567"/>
      </w:pPr>
      <w:r>
        <w:rPr>
          <w:b w:val="0"/>
          <w:i w:val="0"/>
          <w:color w:val="475569"/>
          <w:sz w:val="21"/>
        </w:rPr>
        <w:t>Le travailleur remplit le formulaire en 4 étapes : identité + NISS (format belge 00.00.00-000.00), statut d'éligibilité (salarié ≥4/5e chez un autre employeur au T-3, pensionné légal, ou indépendant à titre principal), upload du document justificatif dans Supabase Storage, et IBAN (format BE groupé par 4). À la soumission, la candidature est marquée compliance_complete = true.</w:t>
      </w:r>
    </w:p>
    <w:p>
      <w:pPr>
        <w:spacing w:before="160" w:after="40"/>
      </w:pPr>
      <w:r>
        <w:rPr>
          <w:b/>
          <w:i w:val="0"/>
          <w:color w:val="6366F1"/>
          <w:sz w:val="26"/>
        </w:rPr>
        <w:t xml:space="preserve">⑥  </w:t>
      </w:r>
      <w:r>
        <w:rPr>
          <w:b/>
          <w:i w:val="0"/>
          <w:color w:val="1E293B"/>
          <w:sz w:val="24"/>
        </w:rPr>
        <w:t>Dossier Jour J</w:t>
      </w:r>
    </w:p>
    <w:p>
      <w:pPr>
        <w:spacing w:after="120"/>
        <w:ind w:left="567"/>
      </w:pPr>
      <w:r>
        <w:rPr>
          <w:b w:val="0"/>
          <w:i w:val="0"/>
          <w:color w:val="475569"/>
          <w:sz w:val="21"/>
        </w:rPr>
        <w:t>EmailJS envoie à l'employeur le lien vers dossier-jour-j.html?cid=xxx. Il y trouve les 3 documents pré-remplis à imprimer. Il soumet la DIMONA FLX sur socialsecurity.be AVANT le début du shift. Réponse ONSS OK = le travailleur peut commencer. Réponse NOK = prestation légalement interdite.</w:t>
      </w:r>
    </w:p>
    <w:p>
      <w:pPr>
        <w:spacing w:before="160" w:after="40"/>
      </w:pPr>
      <w:r>
        <w:rPr>
          <w:b/>
          <w:i w:val="0"/>
          <w:color w:val="6366F1"/>
          <w:sz w:val="26"/>
        </w:rPr>
        <w:t xml:space="preserve">⑦  </w:t>
      </w:r>
      <w:r>
        <w:rPr>
          <w:b/>
          <w:i w:val="0"/>
          <w:color w:val="1E293B"/>
          <w:sz w:val="24"/>
        </w:rPr>
        <w:t>Déclaration d'heures</w:t>
      </w:r>
    </w:p>
    <w:p>
      <w:pPr>
        <w:spacing w:after="120"/>
        <w:ind w:left="567"/>
      </w:pPr>
      <w:r>
        <w:rPr>
          <w:b w:val="0"/>
          <w:i w:val="0"/>
          <w:color w:val="475569"/>
          <w:sz w:val="21"/>
        </w:rPr>
        <w:t>En fin de journée, le travailleur déclare ses heures réelles (pré-remplies depuis la DIMONA). EmailJS envoie à l'employeur le récapitulatif complet avec calcul légal : salaire flexi + pécule de vacances 7,67% + cotisation patronale 28% = coût total employeur. Ce récapitulatif est directement transmissible au secrétariat social.</w:t>
      </w:r>
    </w:p>
    <w:p>
      <w:pPr>
        <w:spacing w:before="160" w:after="40"/>
      </w:pPr>
      <w:r>
        <w:rPr>
          <w:b/>
          <w:i w:val="0"/>
          <w:color w:val="6366F1"/>
          <w:sz w:val="26"/>
        </w:rPr>
        <w:t xml:space="preserve">⑧  </w:t>
      </w:r>
      <w:r>
        <w:rPr>
          <w:b/>
          <w:i w:val="0"/>
          <w:color w:val="1E293B"/>
          <w:sz w:val="24"/>
        </w:rPr>
        <w:t>Validation ou contestation</w:t>
      </w:r>
    </w:p>
    <w:p>
      <w:pPr>
        <w:spacing w:after="120"/>
        <w:ind w:left="567"/>
      </w:pPr>
      <w:r>
        <w:rPr>
          <w:b w:val="0"/>
          <w:i w:val="0"/>
          <w:color w:val="475569"/>
          <w:sz w:val="21"/>
        </w:rPr>
        <w:t>Les heures sont acceptées automatiquement sous 48h. L'employeur n'agit que s'il conteste. En cas de contestation, le travailleur reçoit un email avec le motif et un lien pour corriger et re-soumettre. Le cycle repart au statut "en attente" jusqu'à acceptation implicite ou nouvelle contestation.</w:t>
      </w:r>
    </w:p>
    <w:p>
      <w:pPr>
        <w:spacing w:before="360" w:after="120"/>
        <w:pBdr>
          <w:bottom w:val="single" w:sz="6" w:space="4" w:color="6366F1"/>
        </w:pBdr>
      </w:pPr>
      <w:r>
        <w:rPr>
          <w:b/>
          <w:i w:val="0"/>
          <w:color w:val="6366F1"/>
          <w:sz w:val="32"/>
        </w:rPr>
        <w:t>5. Calcul du salaire flexi — règles légales appliquées</w:t>
      </w:r>
    </w:p>
    <w:p>
      <w:pPr>
        <w:spacing w:after="80"/>
      </w:pPr>
      <w:r>
        <w:rPr>
          <w:b w:val="0"/>
          <w:i w:val="0"/>
          <w:sz w:val="21"/>
        </w:rPr>
        <w:t>Depuis le 1er mars 2026 (loi du 12 mai 2026), le calcul officiel flexi-job est le suivant :</w:t>
      </w:r>
    </w:p>
    <w:tbl>
      <w:tblPr>
        <w:tblStyle w:val="TableGrid"/>
        <w:tblW w:type="auto" w:w="0"/>
        <w:jc w:val="left"/>
        <w:tblLook w:firstColumn="1" w:firstRow="1" w:lastColumn="0" w:lastRow="0" w:noHBand="0" w:noVBand="1" w:val="04A0"/>
      </w:tblPr>
      <w:tblGrid>
        <w:gridCol w:w="4703"/>
        <w:gridCol w:w="4703"/>
      </w:tblGrid>
      <w:tr>
        <w:tc>
          <w:tcPr>
            <w:tcW w:type="dxa" w:w="3402"/>
            <w:shd w:val="clear" w:color="auto" w:fill="F8FAFC"/>
          </w:tcPr>
          <w:p>
            <w:r>
              <w:rPr>
                <w:b/>
                <w:i w:val="0"/>
                <w:color w:val="1E293B"/>
                <w:sz w:val="19"/>
              </w:rPr>
              <w:t>Taux horaire flexi</w:t>
            </w:r>
          </w:p>
        </w:tc>
        <w:tc>
          <w:tcPr>
            <w:tcW w:type="dxa" w:w="5669"/>
            <w:shd w:val="clear" w:color="auto" w:fill="F8FAFC"/>
          </w:tcPr>
          <w:p>
            <w:r>
              <w:rPr>
                <w:b w:val="0"/>
                <w:i w:val="0"/>
                <w:color w:val="1E293B"/>
                <w:sz w:val="19"/>
              </w:rPr>
              <w:t>Minimum légal : 11,87 €/h (hors pécule)</w:t>
            </w:r>
          </w:p>
        </w:tc>
      </w:tr>
      <w:tr>
        <w:tc>
          <w:tcPr>
            <w:tcW w:type="dxa" w:w="3402"/>
            <w:shd w:val="clear" w:color="auto" w:fill="FFFFFF"/>
          </w:tcPr>
          <w:p>
            <w:r>
              <w:rPr>
                <w:b/>
                <w:i w:val="0"/>
                <w:color w:val="1E293B"/>
                <w:sz w:val="19"/>
              </w:rPr>
              <w:t>Salaire flexi</w:t>
            </w:r>
          </w:p>
        </w:tc>
        <w:tc>
          <w:tcPr>
            <w:tcW w:type="dxa" w:w="5669"/>
            <w:shd w:val="clear" w:color="auto" w:fill="FFFFFF"/>
          </w:tcPr>
          <w:p>
            <w:r>
              <w:rPr>
                <w:b w:val="0"/>
                <w:i w:val="0"/>
                <w:color w:val="1E293B"/>
                <w:sz w:val="19"/>
              </w:rPr>
              <w:t>Heures × taux horaire</w:t>
            </w:r>
          </w:p>
        </w:tc>
      </w:tr>
      <w:tr>
        <w:tc>
          <w:tcPr>
            <w:tcW w:type="dxa" w:w="3402"/>
            <w:shd w:val="clear" w:color="auto" w:fill="F8FAFC"/>
          </w:tcPr>
          <w:p>
            <w:r>
              <w:rPr>
                <w:b/>
                <w:i w:val="0"/>
                <w:color w:val="1E293B"/>
                <w:sz w:val="19"/>
              </w:rPr>
              <w:t>+ Pécule de vacances (7,67%)</w:t>
            </w:r>
          </w:p>
        </w:tc>
        <w:tc>
          <w:tcPr>
            <w:tcW w:type="dxa" w:w="5669"/>
            <w:shd w:val="clear" w:color="auto" w:fill="F8FAFC"/>
          </w:tcPr>
          <w:p>
            <w:r>
              <w:rPr>
                <w:b w:val="0"/>
                <w:i w:val="0"/>
                <w:color w:val="1E293B"/>
                <w:sz w:val="19"/>
              </w:rPr>
              <w:t>Payé en même temps que le salaire</w:t>
            </w:r>
          </w:p>
        </w:tc>
      </w:tr>
      <w:tr>
        <w:tc>
          <w:tcPr>
            <w:tcW w:type="dxa" w:w="3402"/>
            <w:shd w:val="clear" w:color="auto" w:fill="1E293B"/>
          </w:tcPr>
          <w:p>
            <w:r>
              <w:rPr>
                <w:b/>
                <w:i w:val="0"/>
                <w:color w:val="FFFFFF"/>
                <w:sz w:val="19"/>
              </w:rPr>
              <w:t>= Total dû au travailleur</w:t>
            </w:r>
          </w:p>
        </w:tc>
        <w:tc>
          <w:tcPr>
            <w:tcW w:type="dxa" w:w="5669"/>
            <w:shd w:val="clear" w:color="auto" w:fill="1E293B"/>
          </w:tcPr>
          <w:p>
            <w:r>
              <w:rPr>
                <w:b w:val="0"/>
                <w:i w:val="0"/>
                <w:color w:val="FFFFFF"/>
                <w:sz w:val="19"/>
              </w:rPr>
              <w:t>Brut = Net (aucune retenue fiscale ni sociale jusqu'à 18 440 €/an en 2026)</w:t>
            </w:r>
          </w:p>
        </w:tc>
      </w:tr>
      <w:tr>
        <w:tc>
          <w:tcPr>
            <w:tcW w:type="dxa" w:w="3402"/>
            <w:shd w:val="clear" w:color="auto" w:fill="F8FAFC"/>
          </w:tcPr>
          <w:p>
            <w:r>
              <w:rPr>
                <w:b/>
                <w:i w:val="0"/>
                <w:color w:val="1E293B"/>
                <w:sz w:val="19"/>
              </w:rPr>
              <w:t>+ Cotisation patronale (28%)</w:t>
            </w:r>
          </w:p>
        </w:tc>
        <w:tc>
          <w:tcPr>
            <w:tcW w:type="dxa" w:w="5669"/>
            <w:shd w:val="clear" w:color="auto" w:fill="F8FAFC"/>
          </w:tcPr>
          <w:p>
            <w:r>
              <w:rPr>
                <w:b w:val="0"/>
                <w:i w:val="0"/>
                <w:color w:val="1E293B"/>
                <w:sz w:val="19"/>
              </w:rPr>
              <w:t>Sur (salaire + pécule de vacances)</w:t>
            </w:r>
          </w:p>
        </w:tc>
      </w:tr>
      <w:tr>
        <w:tc>
          <w:tcPr>
            <w:tcW w:type="dxa" w:w="3402"/>
            <w:shd w:val="clear" w:color="auto" w:fill="1E293B"/>
          </w:tcPr>
          <w:p>
            <w:r>
              <w:rPr>
                <w:b/>
                <w:i w:val="0"/>
                <w:color w:val="FFFFFF"/>
                <w:sz w:val="19"/>
              </w:rPr>
              <w:t>= Coût total employeur</w:t>
            </w:r>
          </w:p>
        </w:tc>
        <w:tc>
          <w:tcPr>
            <w:tcW w:type="dxa" w:w="5669"/>
            <w:shd w:val="clear" w:color="auto" w:fill="1E293B"/>
          </w:tcPr>
          <w:p>
            <w:r>
              <w:rPr>
                <w:b w:val="0"/>
                <w:i w:val="0"/>
                <w:color w:val="FFFFFF"/>
                <w:sz w:val="19"/>
              </w:rPr>
              <w:t>Montant à transmettre au secrétariat social</w:t>
            </w:r>
          </w:p>
        </w:tc>
      </w:tr>
    </w:tbl>
    <w:p/>
    <w:p>
      <w:pPr>
        <w:pBdr>
          <w:top w:val="single" w:sz="4" w:space="4" w:color="F59E0B"/>
          <w:bottom w:val="single" w:sz="4" w:space="4" w:color="F59E0B"/>
          <w:left w:val="single" w:sz="4" w:space="4" w:color="F59E0B"/>
          <w:right w:val="single" w:sz="4" w:space="4" w:color="F59E0B"/>
        </w:pBdr>
        <w:spacing w:before="160" w:after="240"/>
        <w:ind w:left="170" w:right="170"/>
      </w:pPr>
      <w:r>
        <w:rPr>
          <w:b w:val="0"/>
          <w:i/>
          <w:color w:val="92400E"/>
          <w:sz w:val="19"/>
        </w:rPr>
        <w:t>⚠️  Rappel créé pour le 1er juillet 2026 : mettre à jour les taux minimums par commission paritaire (CP) et vérifier le plafond des 150% du taux barémique sectoriel.</w:t>
      </w:r>
    </w:p>
    <w:p>
      <w:pPr>
        <w:spacing w:before="360" w:after="120"/>
        <w:pBdr>
          <w:bottom w:val="single" w:sz="6" w:space="4" w:color="6366F1"/>
        </w:pBdr>
      </w:pPr>
      <w:r>
        <w:rPr>
          <w:b/>
          <w:i w:val="0"/>
          <w:color w:val="6366F1"/>
          <w:sz w:val="32"/>
        </w:rPr>
        <w:t>6. Système d'emails automatiques (EmailJS)</w:t>
      </w:r>
    </w:p>
    <w:p>
      <w:pPr>
        <w:spacing w:after="80"/>
      </w:pPr>
      <w:r>
        <w:rPr>
          <w:b w:val="0"/>
          <w:i w:val="0"/>
          <w:sz w:val="21"/>
        </w:rPr>
        <w:t>Tous les emails partent de contact.flexmoney@gmail.com via le service EmailJS (compte Daniel Moquet, 13 €/mois). EmailJS ne supporte pas les pièces jointes — les emails contiennent donc des liens vers les pages de la plateforme, et non des PDF. Deux templates EmailJS sont utilisés :</w:t>
      </w:r>
    </w:p>
    <w:p>
      <w:pPr>
        <w:pStyle w:val="ListBullet"/>
        <w:spacing w:after="40"/>
      </w:pPr>
      <w:r>
        <w:rPr>
          <w:b/>
          <w:i w:val="0"/>
          <w:sz w:val="21"/>
        </w:rPr>
        <w:t>template_0hbqgjd :</w:t>
      </w:r>
      <w:r>
        <w:rPr>
          <w:b w:val="0"/>
          <w:i w:val="0"/>
          <w:sz w:val="21"/>
        </w:rPr>
        <w:t xml:space="preserve"> template travailleur — utilisé aussi bien vers les travailleurs que vers les employeurs pour les messages personnalisés</w:t>
      </w:r>
    </w:p>
    <w:p>
      <w:pPr>
        <w:pStyle w:val="ListBullet"/>
        <w:spacing w:after="40"/>
      </w:pPr>
      <w:r>
        <w:rPr>
          <w:b/>
          <w:i w:val="0"/>
          <w:sz w:val="21"/>
        </w:rPr>
        <w:t>template_y3zn6ll :</w:t>
      </w:r>
      <w:r>
        <w:rPr>
          <w:b w:val="0"/>
          <w:i w:val="0"/>
          <w:sz w:val="21"/>
        </w:rPr>
        <w:t xml:space="preserve"> template employeur — utilisé pour les récapitulatifs techniques envoyés aux employeurs (heures, coûts)</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E293B"/>
          </w:tcPr>
          <w:p>
            <w:r>
              <w:rPr>
                <w:b/>
                <w:i w:val="0"/>
                <w:color w:val="FFFFFF"/>
                <w:sz w:val="18"/>
              </w:rPr>
              <w:t>Déclencheur</w:t>
            </w:r>
          </w:p>
        </w:tc>
        <w:tc>
          <w:tcPr>
            <w:tcW w:type="dxa" w:w="3135"/>
            <w:shd w:val="clear" w:color="auto" w:fill="1E293B"/>
          </w:tcPr>
          <w:p>
            <w:r>
              <w:rPr>
                <w:b/>
                <w:i w:val="0"/>
                <w:color w:val="FFFFFF"/>
                <w:sz w:val="18"/>
              </w:rPr>
              <w:t>Destinataire</w:t>
            </w:r>
          </w:p>
        </w:tc>
        <w:tc>
          <w:tcPr>
            <w:tcW w:type="dxa" w:w="3135"/>
            <w:shd w:val="clear" w:color="auto" w:fill="1E293B"/>
          </w:tcPr>
          <w:p>
            <w:r>
              <w:rPr>
                <w:b/>
                <w:i w:val="0"/>
                <w:color w:val="FFFFFF"/>
                <w:sz w:val="18"/>
              </w:rPr>
              <w:t>Contenu</w:t>
            </w:r>
          </w:p>
        </w:tc>
      </w:tr>
      <w:tr>
        <w:tc>
          <w:tcPr>
            <w:tcW w:type="dxa" w:w="2551"/>
          </w:tcPr>
          <w:p>
            <w:r>
              <w:rPr>
                <w:b w:val="0"/>
                <w:i w:val="0"/>
                <w:sz w:val="19"/>
              </w:rPr>
              <w:t>Employeur accepte candidature</w:t>
            </w:r>
          </w:p>
        </w:tc>
        <w:tc>
          <w:tcPr>
            <w:tcW w:type="dxa" w:w="1984"/>
          </w:tcPr>
          <w:p>
            <w:r>
              <w:rPr>
                <w:b w:val="0"/>
                <w:i w:val="0"/>
                <w:sz w:val="19"/>
              </w:rPr>
              <w:t>Travailleur</w:t>
            </w:r>
          </w:p>
        </w:tc>
        <w:tc>
          <w:tcPr>
            <w:tcW w:type="dxa" w:w="4819"/>
          </w:tcPr>
          <w:p>
            <w:r>
              <w:rPr>
                <w:b w:val="0"/>
                <w:i w:val="0"/>
                <w:sz w:val="19"/>
              </w:rPr>
              <w:t>Lien compliance.html?cid=xxx</w:t>
            </w:r>
          </w:p>
        </w:tc>
      </w:tr>
      <w:tr>
        <w:tc>
          <w:tcPr>
            <w:tcW w:type="dxa" w:w="2551"/>
            <w:shd w:val="clear" w:color="auto" w:fill="F8FAFC"/>
          </w:tcPr>
          <w:p>
            <w:r>
              <w:rPr>
                <w:b w:val="0"/>
                <w:i w:val="0"/>
                <w:sz w:val="19"/>
              </w:rPr>
              <w:t>Travailleur soumet compliance</w:t>
            </w:r>
          </w:p>
        </w:tc>
        <w:tc>
          <w:tcPr>
            <w:tcW w:type="dxa" w:w="1984"/>
            <w:shd w:val="clear" w:color="auto" w:fill="F8FAFC"/>
          </w:tcPr>
          <w:p>
            <w:r>
              <w:rPr>
                <w:b w:val="0"/>
                <w:i w:val="0"/>
                <w:sz w:val="19"/>
              </w:rPr>
              <w:t>Employeur</w:t>
            </w:r>
          </w:p>
        </w:tc>
        <w:tc>
          <w:tcPr>
            <w:tcW w:type="dxa" w:w="4819"/>
            <w:shd w:val="clear" w:color="auto" w:fill="F8FAFC"/>
          </w:tcPr>
          <w:p>
            <w:r>
              <w:rPr>
                <w:b w:val="0"/>
                <w:i w:val="0"/>
                <w:sz w:val="19"/>
              </w:rPr>
              <w:t>Lien dossier-jour-j.html?cid=xxx + rappel DIMONA</w:t>
            </w:r>
          </w:p>
        </w:tc>
      </w:tr>
      <w:tr>
        <w:tc>
          <w:tcPr>
            <w:tcW w:type="dxa" w:w="2551"/>
          </w:tcPr>
          <w:p>
            <w:r>
              <w:rPr>
                <w:b w:val="0"/>
                <w:i w:val="0"/>
                <w:sz w:val="19"/>
              </w:rPr>
              <w:t>Travailleur déclare ses heures</w:t>
            </w:r>
          </w:p>
        </w:tc>
        <w:tc>
          <w:tcPr>
            <w:tcW w:type="dxa" w:w="1984"/>
          </w:tcPr>
          <w:p>
            <w:r>
              <w:rPr>
                <w:b w:val="0"/>
                <w:i w:val="0"/>
                <w:sz w:val="19"/>
              </w:rPr>
              <w:t>Employeur</w:t>
            </w:r>
          </w:p>
        </w:tc>
        <w:tc>
          <w:tcPr>
            <w:tcW w:type="dxa" w:w="4819"/>
          </w:tcPr>
          <w:p>
            <w:r>
              <w:rPr>
                <w:b w:val="0"/>
                <w:i w:val="0"/>
                <w:sz w:val="19"/>
              </w:rPr>
              <w:t>Récapitulatif complet heures + calcul coût (prêt pour secrétariat social)</w:t>
            </w:r>
          </w:p>
        </w:tc>
      </w:tr>
      <w:tr>
        <w:tc>
          <w:tcPr>
            <w:tcW w:type="dxa" w:w="2551"/>
            <w:shd w:val="clear" w:color="auto" w:fill="F8FAFC"/>
          </w:tcPr>
          <w:p>
            <w:r>
              <w:rPr>
                <w:b w:val="0"/>
                <w:i w:val="0"/>
                <w:sz w:val="19"/>
              </w:rPr>
              <w:t>Employeur conteste les heures</w:t>
            </w:r>
          </w:p>
        </w:tc>
        <w:tc>
          <w:tcPr>
            <w:tcW w:type="dxa" w:w="1984"/>
            <w:shd w:val="clear" w:color="auto" w:fill="F8FAFC"/>
          </w:tcPr>
          <w:p>
            <w:r>
              <w:rPr>
                <w:b w:val="0"/>
                <w:i w:val="0"/>
                <w:sz w:val="19"/>
              </w:rPr>
              <w:t>Travailleur</w:t>
            </w:r>
          </w:p>
        </w:tc>
        <w:tc>
          <w:tcPr>
            <w:tcW w:type="dxa" w:w="4819"/>
            <w:shd w:val="clear" w:color="auto" w:fill="F8FAFC"/>
          </w:tcPr>
          <w:p>
            <w:r>
              <w:rPr>
                <w:b w:val="0"/>
                <w:i w:val="0"/>
                <w:sz w:val="19"/>
              </w:rPr>
              <w:t>Motif de contestation + lien de correction</w:t>
            </w:r>
          </w:p>
        </w:tc>
      </w:tr>
      <w:tr>
        <w:tc>
          <w:tcPr>
            <w:tcW w:type="dxa" w:w="2551"/>
          </w:tcPr>
          <w:p>
            <w:r>
              <w:rPr>
                <w:b w:val="0"/>
                <w:i w:val="0"/>
                <w:sz w:val="19"/>
              </w:rPr>
              <w:t>Travailleur re-soumet heures corrigées</w:t>
            </w:r>
          </w:p>
        </w:tc>
        <w:tc>
          <w:tcPr>
            <w:tcW w:type="dxa" w:w="1984"/>
          </w:tcPr>
          <w:p>
            <w:r>
              <w:rPr>
                <w:b w:val="0"/>
                <w:i w:val="0"/>
                <w:sz w:val="19"/>
              </w:rPr>
              <w:t>Employeur</w:t>
            </w:r>
          </w:p>
        </w:tc>
        <w:tc>
          <w:tcPr>
            <w:tcW w:type="dxa" w:w="4819"/>
          </w:tcPr>
          <w:p>
            <w:r>
              <w:rPr>
                <w:b w:val="0"/>
                <w:i w:val="0"/>
                <w:sz w:val="19"/>
              </w:rPr>
              <w:t>Nouveau récapitulatif marqué "HEURES CORRIGÉES"</w:t>
            </w:r>
          </w:p>
        </w:tc>
      </w:tr>
    </w:tbl>
    <w:p/>
    <w:p>
      <w:pPr>
        <w:spacing w:before="360" w:after="120"/>
        <w:pBdr>
          <w:bottom w:val="single" w:sz="6" w:space="4" w:color="6366F1"/>
        </w:pBdr>
      </w:pPr>
      <w:r>
        <w:rPr>
          <w:b/>
          <w:i w:val="0"/>
          <w:color w:val="6366F1"/>
          <w:sz w:val="32"/>
        </w:rPr>
        <w:t>7. Ce qui n'est pas encore implémenté</w:t>
      </w:r>
    </w:p>
    <w:p>
      <w:pPr>
        <w:pStyle w:val="ListBullet"/>
        <w:spacing w:after="40"/>
      </w:pPr>
      <w:r>
        <w:rPr>
          <w:b w:val="0"/>
          <w:i w:val="0"/>
          <w:sz w:val="21"/>
        </w:rPr>
        <w:t>Soumission automatique de la DIMONA via API ONSS : trop complexe, envisageable pour les gros employeurs à terme. Pour l'instant, l'employeur soumet manuellement sur socialsecurity.be avec les données pré-remplies dans le Dossier Jour J.</w:t>
      </w:r>
    </w:p>
    <w:p>
      <w:pPr>
        <w:pStyle w:val="ListBullet"/>
        <w:spacing w:after="40"/>
      </w:pPr>
      <w:r>
        <w:rPr>
          <w:b w:val="0"/>
          <w:i w:val="0"/>
          <w:sz w:val="21"/>
        </w:rPr>
        <w:t>Paiement intégré : la plateforme génère les récapitulatifs mais le secrétariat social de l'employeur gère la paie.</w:t>
      </w:r>
    </w:p>
    <w:p>
      <w:pPr>
        <w:pStyle w:val="ListBullet"/>
        <w:spacing w:after="40"/>
      </w:pPr>
      <w:r>
        <w:rPr>
          <w:b w:val="0"/>
          <w:i w:val="0"/>
          <w:sz w:val="21"/>
        </w:rPr>
        <w:t>Authentification sécurisée : Supabase Auth est en place mais les dashboards fonctionnent aujourd'hui par email sans session strictement sécurisée.</w:t>
      </w:r>
    </w:p>
    <w:p>
      <w:pPr>
        <w:pStyle w:val="ListBullet"/>
        <w:spacing w:after="40"/>
      </w:pPr>
      <w:r>
        <w:rPr>
          <w:b w:val="0"/>
          <w:i w:val="0"/>
          <w:sz w:val="21"/>
        </w:rPr>
        <w:t>Taux par commission paritaire (CP) : actuellement un taux unique par mission. À implémenter avec les taux barémiques sectoriels et le plafond à 150%.</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color w:val="94A3B8"/>
        <w:sz w:val="16"/>
      </w:rPr>
      <w:t>FlexMoney · Document confidentiel · Juin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