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0"/>
        <w:jc w:val="left"/>
      </w:pPr>
      <w:r>
        <w:rPr>
          <w:rFonts w:ascii="Arial" w:hAnsi="Arial"/>
          <w:b w:val="0"/>
          <w:i w:val="0"/>
        </w:rPr>
      </w:r>
    </w:p>
    <w:p>
      <w:pPr>
        <w:spacing w:before="0" w:after="40"/>
        <w:jc w:val="center"/>
      </w:pPr>
      <w:r>
        <w:rPr>
          <w:rFonts w:ascii="Arial" w:hAnsi="Arial"/>
          <w:b/>
          <w:i w:val="0"/>
          <w:color w:val="6366F1"/>
          <w:sz w:val="72"/>
        </w:rPr>
        <w:t>FlexMoney</w:t>
      </w:r>
    </w:p>
    <w:p>
      <w:pPr>
        <w:spacing w:before="0" w:after="80"/>
        <w:jc w:val="center"/>
      </w:pPr>
      <w:r>
        <w:rPr>
          <w:rFonts w:ascii="Arial" w:hAnsi="Arial"/>
          <w:b w:val="0"/>
          <w:i w:val="0"/>
          <w:color w:val="64748B"/>
          <w:sz w:val="32"/>
        </w:rPr>
        <w:t>Stratégie Marketing par Profil Travailleur</w:t>
      </w:r>
    </w:p>
    <w:p>
      <w:pPr>
        <w:spacing w:before="0" w:after="800"/>
        <w:jc w:val="center"/>
      </w:pPr>
      <w:r>
        <w:rPr>
          <w:rFonts w:ascii="Arial" w:hAnsi="Arial"/>
          <w:b w:val="0"/>
          <w:i/>
          <w:color w:val="94A3B8"/>
          <w:sz w:val="22"/>
        </w:rPr>
        <w:t>Intelligence marketing — Acquisition &amp; Conviction</w:t>
      </w:r>
    </w:p>
    <w:p>
      <w:pPr>
        <w:spacing w:before="80" w:after="80"/>
        <w:pBdr>
          <w:bottom w:val="single" w:sz="4" w:space="1" w:color="6366f1"/>
        </w:pBdr>
      </w:pPr>
    </w:p>
    <w:p>
      <w:pPr>
        <w:spacing w:before="0" w:after="160"/>
        <w:jc w:val="left"/>
      </w:pPr>
      <w:r>
        <w:rPr>
          <w:rFonts w:ascii="Arial" w:hAnsi="Arial"/>
          <w:b w:val="0"/>
          <w:i w:val="0"/>
        </w:rPr>
      </w:r>
    </w:p>
    <w:p>
      <w:pPr>
        <w:spacing w:before="0" w:after="120"/>
        <w:jc w:val="both"/>
      </w:pPr>
      <w:r>
        <w:rPr>
          <w:rFonts w:ascii="Arial" w:hAnsi="Arial"/>
          <w:b w:val="0"/>
          <w:i w:val="0"/>
          <w:color w:val="374151"/>
          <w:sz w:val="21"/>
        </w:rPr>
        <w:t>Ce document définit la stratégie d'acquisition et de conviction pour les trois profils travailleurs cibles de FlexMoney : les travailleurs Horeca, les professionnels du savoir en télétravail (nouveau marché juillet 2026), et les pensionnés à forte expertise technique. Pour chaque profil : message clé, canaux, approche humaine, et plan d'action concret.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f0f0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E293B"/>
                <w:sz w:val="32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4748B"/>
                <w:sz w:val="17"/>
              </w:rPr>
              <w:t>Profils ciblés</w:t>
            </w:r>
          </w:p>
        </w:tc>
        <w:tc>
          <w:tcPr>
            <w:tcW w:type="dxa" w:w="2268"/>
            <w:shd w:val="clear" w:color="auto" w:fill="f0fdf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E293B"/>
                <w:sz w:val="32"/>
              </w:rPr>
              <w:t>Juil. 2026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4748B"/>
                <w:sz w:val="17"/>
              </w:rPr>
              <w:t>Nouveau marché</w:t>
            </w:r>
          </w:p>
        </w:tc>
        <w:tc>
          <w:tcPr>
            <w:tcW w:type="dxa" w:w="2268"/>
            <w:shd w:val="clear" w:color="auto" w:fill="fffbe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E293B"/>
                <w:sz w:val="32"/>
              </w:rPr>
              <w:t>0% impôts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4748B"/>
                <w:sz w:val="17"/>
              </w:rPr>
              <w:t>Revenu net travailleur</w:t>
            </w:r>
          </w:p>
        </w:tc>
        <w:tc>
          <w:tcPr>
            <w:tcW w:type="dxa" w:w="2268"/>
            <w:shd w:val="clear" w:color="auto" w:fill="fdf2f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E293B"/>
                <w:sz w:val="32"/>
              </w:rPr>
              <w:t>5–10%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4748B"/>
                <w:sz w:val="17"/>
              </w:rPr>
              <w:t>Commission plateforme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F59E0B"/>
        </w:rPr>
        <w:t>Profil 1 — Horeca &amp; Hôtellerie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single" w:sz="6" w:space="0" w:color="f59e0b"/>
              <w:left w:val="single" w:sz="6" w:space="0" w:color="f59e0b"/>
              <w:bottom w:val="single" w:sz="6" w:space="0" w:color="f59e0b"/>
              <w:right w:val="single" w:sz="6" w:space="0" w:color="f59e0b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F59E0B"/>
                <w:sz w:val="18"/>
              </w:rPr>
              <w:t>SNAPSHOT DU PROFIL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🎯 Cible : Serveurs, barmans, cuisiniers, réceptionnistes — déjà familiers du flexi-job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🔥 Opportunité : Secteur historique du flexi-job, fort besoin en personnel flexible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💡 Angle d'attaque : Simplicité + coût zéro vs. plateformes concurrentes</w:t>
            </w:r>
          </w:p>
        </w:tc>
      </w:tr>
    </w:tbl>
    <w:p>
      <w:pPr>
        <w:spacing w:after="120"/>
      </w:pPr>
    </w:p>
    <w:p>
      <w:pPr>
        <w:pStyle w:val="Heading2"/>
      </w:pPr>
      <w:r>
        <w:t>1.1  Psychologie &amp; points de douleur</w:t>
      </w:r>
    </w:p>
    <w:p>
      <w:pPr>
        <w:spacing w:before="0" w:after="160"/>
        <w:jc w:val="both"/>
      </w:pPr>
      <w:r>
        <w:rPr>
          <w:rFonts w:ascii="Arial" w:hAnsi="Arial"/>
          <w:b w:val="0"/>
          <w:i w:val="0"/>
        </w:rPr>
        <w:t>Ce profil connaît déjà le flexi-job. Son obstacle n'est pas la connaissance du système, mais la friction des outils existants. Il cherche la mission la plus simple à décrocher, sans paperasse, sans abonnement, sans attente.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Douleur 1 — </w:t>
      </w:r>
      <w:r>
        <w:rPr>
          <w:rFonts w:ascii="Arial" w:hAnsi="Arial"/>
        </w:rPr>
        <w:t>Inscriptions longues et formulaires complexes sur les plateformes concurrentes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Douleur 2 — </w:t>
      </w:r>
      <w:r>
        <w:rPr>
          <w:rFonts w:ascii="Arial" w:hAnsi="Arial"/>
        </w:rPr>
        <w:t>Abonnements mensuels ou frais cachés qui réduisent le gain net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Douleur 3 — </w:t>
      </w:r>
      <w:r>
        <w:rPr>
          <w:rFonts w:ascii="Arial" w:hAnsi="Arial"/>
        </w:rPr>
        <w:t>Missions peu adaptées à leur zone géographique ou leurs horaires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Douleur 4 — </w:t>
      </w:r>
      <w:r>
        <w:rPr>
          <w:rFonts w:ascii="Arial" w:hAnsi="Arial"/>
        </w:rPr>
        <w:t>Manque de confiance : peur de ne pas être payé correctement</w:t>
      </w:r>
    </w:p>
    <w:p>
      <w:pPr>
        <w:pStyle w:val="Heading2"/>
      </w:pPr>
      <w:r>
        <w:t>1.2  Message clé &amp; accroche publicitaire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f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6366F1"/>
                <w:sz w:val="18"/>
              </w:rPr>
              <w:t>MESSAGE PRINCIPAL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"L'app flexi-job la plus simple de Belgique. Inscris-toi en 4 minutes.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 xml:space="preserve"> Pas d'abonnement. Juste 5% sur tes 3 premières missions — puis 10%.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 xml:space="preserve"> Ton salaire net directement, 0% d'impôts."</w:t>
            </w:r>
          </w:p>
        </w:tc>
      </w:tr>
    </w:tbl>
    <w:p>
      <w:pPr>
        <w:spacing w:after="120"/>
      </w:pPr>
    </w:p>
    <w:p>
      <w:pPr>
        <w:spacing w:before="0" w:after="60"/>
        <w:jc w:val="left"/>
      </w:pPr>
      <w:r>
        <w:rPr>
          <w:rFonts w:ascii="Arial" w:hAnsi="Arial"/>
          <w:b/>
          <w:i w:val="0"/>
        </w:rPr>
        <w:t>Variantes selon le canal :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Pub courte — </w:t>
      </w:r>
      <w:r>
        <w:rPr>
          <w:rFonts w:ascii="Arial" w:hAnsi="Arial"/>
        </w:rPr>
        <w:t>Facebook/Instagram : "Tu fais déjà du flexi ? FlexMoney te paye plus vite." (visuel : téléphone + notification paiement reçu)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Vidéo — </w:t>
      </w:r>
      <w:r>
        <w:rPr>
          <w:rFonts w:ascii="Arial" w:hAnsi="Arial"/>
        </w:rPr>
        <w:t>TikTok/Reels : Barman qui montre son téléphone — "Mission acceptée, 18h ce soir. 3 clics." (UGC style)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Print — </w:t>
      </w:r>
      <w:r>
        <w:rPr>
          <w:rFonts w:ascii="Arial" w:hAnsi="Arial"/>
        </w:rPr>
        <w:t>Affiche physique (école horeca, vestiaire de cuisine) : "Tu travailles ce week-end ? Dépose ta candidature ce soir."</w:t>
      </w:r>
    </w:p>
    <w:p>
      <w:pPr>
        <w:pStyle w:val="Heading2"/>
      </w:pPr>
      <w:r>
        <w:t>1.3  Canaux d'acquisition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ef3c7"/>
          </w:tcPr>
          <w:p>
            <w:r>
              <w:rPr>
                <w:rFonts w:ascii="Arial" w:hAnsi="Arial"/>
                <w:b/>
                <w:sz w:val="19"/>
              </w:rPr>
              <w:t>Canal</w:t>
            </w:r>
          </w:p>
        </w:tc>
        <w:tc>
          <w:tcPr>
            <w:tcW w:type="dxa" w:w="2268"/>
            <w:shd w:val="clear" w:fill="fef3c7"/>
          </w:tcPr>
          <w:p>
            <w:r>
              <w:rPr>
                <w:rFonts w:ascii="Arial" w:hAnsi="Arial"/>
                <w:b/>
                <w:sz w:val="19"/>
              </w:rPr>
              <w:t>Format</w:t>
            </w:r>
          </w:p>
        </w:tc>
        <w:tc>
          <w:tcPr>
            <w:tcW w:type="dxa" w:w="2268"/>
            <w:shd w:val="clear" w:fill="fef3c7"/>
          </w:tcPr>
          <w:p>
            <w:r>
              <w:rPr>
                <w:rFonts w:ascii="Arial" w:hAnsi="Arial"/>
                <w:b/>
                <w:sz w:val="19"/>
              </w:rPr>
              <w:t>Budget estimé</w:t>
            </w:r>
          </w:p>
        </w:tc>
        <w:tc>
          <w:tcPr>
            <w:tcW w:type="dxa" w:w="2268"/>
            <w:shd w:val="clear" w:fill="fef3c7"/>
          </w:tcPr>
          <w:p>
            <w:r>
              <w:rPr>
                <w:rFonts w:ascii="Arial" w:hAnsi="Arial"/>
                <w:b/>
                <w:sz w:val="19"/>
              </w:rPr>
              <w:t>Priorité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Facebook / Instagram Ads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Carrousel + Stories ciblé "travailleur Horeca Belgique"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300–500€/mois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🔴 Priorité 1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TikTok Ads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Vidéo UGC 15s, ton authentique, mise en scène vestiaire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150–300€/mois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🟠 Priorité 2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Partenariats écoles Horeca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Flyers + présentation aux étudiants en alternance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Gratuit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🔴 Priorité 1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Groupes Facebook Horeca BE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Posts organiques + partage de missions disponibles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Gratuit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🔴 Priorité 1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Programme de parrainage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20€ crédités pour chaque ami inscrit qui complète une mission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Variable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🟠 Priorité 2</w:t>
            </w:r>
          </w:p>
        </w:tc>
      </w:tr>
    </w:tbl>
    <w:p>
      <w:pPr>
        <w:spacing w:after="120"/>
      </w:pPr>
    </w:p>
    <w:p>
      <w:pPr>
        <w:pStyle w:val="Heading2"/>
      </w:pPr>
      <w:r>
        <w:t>1.4  Approche humaine &amp; relation directe</w:t>
      </w:r>
    </w:p>
    <w:p>
      <w:pPr>
        <w:spacing w:before="0" w:after="160"/>
        <w:jc w:val="both"/>
      </w:pPr>
      <w:r>
        <w:rPr>
          <w:rFonts w:ascii="Arial" w:hAnsi="Arial"/>
          <w:b w:val="0"/>
          <w:i w:val="0"/>
        </w:rPr>
        <w:t>Le bouche-à-oreille est le vecteur numéro un dans l'Horeca. Un barman convaincu par FlexMoney en parlera à 5 collègues. La stratégie humaine est donc au moins aussi importante que la publicité digitale.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Ambassadeurs écoles — </w:t>
      </w:r>
      <w:r>
        <w:rPr>
          <w:rFonts w:ascii="Arial" w:hAnsi="Arial"/>
        </w:rPr>
        <w:t>Visiter les écoles Horeca (Escoffier, CERIA, ITCF) avant les stages : présenter FlexMoney en 10 minutes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Réseau terrain — </w:t>
      </w:r>
      <w:r>
        <w:rPr>
          <w:rFonts w:ascii="Arial" w:hAnsi="Arial"/>
        </w:rPr>
        <w:t>Recruter 5 "FlexMoney Ambassadeurs" dans des bars bruxellois/liégeois (rémunérés en crédits missions)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Fédérations — </w:t>
      </w:r>
      <w:r>
        <w:rPr>
          <w:rFonts w:ascii="Arial" w:hAnsi="Arial"/>
        </w:rPr>
        <w:t>Contacter Horeca Vlaanderen et Fedhorecaorg pour une mention dans leurs newsletters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Communauté — </w:t>
      </w:r>
      <w:r>
        <w:rPr>
          <w:rFonts w:ascii="Arial" w:hAnsi="Arial"/>
        </w:rPr>
        <w:t>Poster régulièrement des missions disponibles dans les groupes Facebook privés de personnel Horeca</w:t>
      </w:r>
    </w:p>
    <w:p>
      <w:pPr>
        <w:pStyle w:val="Heading2"/>
      </w:pPr>
      <w:r>
        <w:t>1.5  Timing &amp; saisonnalité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Printemps — </w:t>
      </w:r>
      <w:r>
        <w:rPr>
          <w:rFonts w:ascii="Arial" w:hAnsi="Arial"/>
        </w:rPr>
        <w:t>Mai–juin : campagne pré-saison estivale (terrasses, festivals, événements)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Automne — </w:t>
      </w:r>
      <w:r>
        <w:rPr>
          <w:rFonts w:ascii="Arial" w:hAnsi="Arial"/>
        </w:rPr>
        <w:t>Octobre–novembre : campagne pré-fêtes (Noël, Nouvel An, mariages)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Janvier — </w:t>
      </w:r>
      <w:r>
        <w:rPr>
          <w:rFonts w:ascii="Arial" w:hAnsi="Arial"/>
        </w:rPr>
        <w:t>Janvier : "Commence l'année avec un revenu en plus — inscription gratuite"</w:t>
      </w:r>
    </w:p>
    <w:p>
      <w:r>
        <w:br w:type="page"/>
      </w:r>
    </w:p>
    <w:p>
      <w:pPr>
        <w:pStyle w:val="Heading1"/>
      </w:pPr>
      <w:r>
        <w:rPr>
          <w:color w:val="6366F1"/>
        </w:rPr>
        <w:t>Profil 2 — Professionnels du Savoir en Télétravail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f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6366F1"/>
                <w:sz w:val="18"/>
              </w:rPr>
              <w:t>SNAPSHOT DU PROFIL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🎯 Cible : Comptables, IT, marketeurs, juristes, RH, designers — salariés 4/5e ou pensionnés actifs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🔥 Opportunité : Nouveau marché ouvert par la loi du 18 juillet 2026 — toutes les compétences bureautiques sont éligibles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💡 Angle d'attaque : Éducation (la plupart ignorent que c'est désormais légal) + argument fiscal béton</w:t>
            </w:r>
          </w:p>
        </w:tc>
      </w:tr>
    </w:tbl>
    <w:p>
      <w:pPr>
        <w:spacing w:after="120"/>
      </w:pPr>
    </w:p>
    <w:p>
      <w:pPr>
        <w:pStyle w:val="Heading2"/>
      </w:pPr>
      <w:r>
        <w:t>2.1  Psychologie &amp; points de douleur</w:t>
      </w:r>
    </w:p>
    <w:p>
      <w:pPr>
        <w:spacing w:before="0" w:after="160"/>
        <w:jc w:val="both"/>
      </w:pPr>
      <w:r>
        <w:rPr>
          <w:rFonts w:ascii="Arial" w:hAnsi="Arial"/>
          <w:b w:val="0"/>
          <w:i w:val="0"/>
        </w:rPr>
        <w:t>Ce profil est souvent surprise : il ne sait pas que le flexi-job lui est désormais accessible. Son premier réflexe est la méfiance ("trop beau pour être vrai", "est-ce vraiment légal ?"). La stratégie doit d'abord éduquer, puis convaincre.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Frein 1 — </w:t>
      </w:r>
      <w:r>
        <w:rPr>
          <w:rFonts w:ascii="Arial" w:hAnsi="Arial"/>
        </w:rPr>
        <w:t>"Est-ce que c'est vraiment légal pour moi ?" — la grande question de ce profil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Frein 2 — </w:t>
      </w:r>
      <w:r>
        <w:rPr>
          <w:rFonts w:ascii="Arial" w:hAnsi="Arial"/>
        </w:rPr>
        <w:t>"Je ne veux pas de problèmes avec les impôts ou mon employeur principal"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Frein 3 — </w:t>
      </w:r>
      <w:r>
        <w:rPr>
          <w:rFonts w:ascii="Arial" w:hAnsi="Arial"/>
        </w:rPr>
        <w:t>"Je ne sais pas combien je peux gagner sans impacter mes droits sociaux"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Frein 4 — </w:t>
      </w:r>
      <w:r>
        <w:rPr>
          <w:rFonts w:ascii="Arial" w:hAnsi="Arial"/>
        </w:rPr>
        <w:t>"Je n'ai pas envie de gérer de la compta ou des contrats compliqués"</w:t>
      </w:r>
    </w:p>
    <w:p>
      <w:pPr>
        <w:pStyle w:val="Heading2"/>
      </w:pPr>
      <w:r>
        <w:t>2.2  Message clé &amp; accroche publicitaire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0ff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6366F1"/>
                <w:sz w:val="18"/>
              </w:rPr>
              <w:t>MESSAGE PRINCIPAL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"Depuis juillet 2026, votre expertise peut vous rapporter jusqu'à 18.000€/an.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 xml:space="preserve"> En télétravail. Sans impôts. Sans quitter votre emploi principal.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 xml:space="preserve"> FlexMoney s'occupe de tout : contrat, calcul ONSS, récapitulatif pour votre secrétariat social."</w:t>
            </w:r>
          </w:p>
        </w:tc>
      </w:tr>
    </w:tbl>
    <w:p>
      <w:pPr>
        <w:spacing w:after="120"/>
      </w:pPr>
    </w:p>
    <w:p>
      <w:pPr>
        <w:spacing w:before="0" w:after="60"/>
        <w:jc w:val="left"/>
      </w:pPr>
      <w:r>
        <w:rPr>
          <w:rFonts w:ascii="Arial" w:hAnsi="Arial"/>
          <w:b/>
          <w:i w:val="0"/>
        </w:rPr>
        <w:t>Variantes selon le canal :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LinkedIn — </w:t>
      </w:r>
      <w:r>
        <w:rPr>
          <w:rFonts w:ascii="Arial" w:hAnsi="Arial"/>
        </w:rPr>
        <w:t>"Vous êtes comptable ? Vous travaillez 4/5e ? Vos vendredis valent de l'argent." (LinkedIn, ciblage sectoriel)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Contenu — </w:t>
      </w:r>
      <w:r>
        <w:rPr>
          <w:rFonts w:ascii="Arial" w:hAnsi="Arial"/>
        </w:rPr>
        <w:t>"Nouveau en 2026 : le flexi-job intellectuel est légal. Voici ce que ça change pour vous." (article de blog / newsletter)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Calculateur — </w:t>
      </w:r>
      <w:r>
        <w:rPr>
          <w:rFonts w:ascii="Arial" w:hAnsi="Arial"/>
        </w:rPr>
        <w:t>"Calculez ce que vous pourriez gagner en flexi ce mois-ci." (outil interactif sur flexmoney.be)</w:t>
      </w:r>
    </w:p>
    <w:p>
      <w:pPr>
        <w:pStyle w:val="Heading2"/>
      </w:pPr>
      <w:r>
        <w:t>2.3  Canaux d'acquisition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e0e7ff"/>
          </w:tcPr>
          <w:p>
            <w:r>
              <w:rPr>
                <w:rFonts w:ascii="Arial" w:hAnsi="Arial"/>
                <w:b/>
                <w:sz w:val="19"/>
              </w:rPr>
              <w:t>Canal</w:t>
            </w:r>
          </w:p>
        </w:tc>
        <w:tc>
          <w:tcPr>
            <w:tcW w:type="dxa" w:w="2268"/>
            <w:shd w:val="clear" w:fill="e0e7ff"/>
          </w:tcPr>
          <w:p>
            <w:r>
              <w:rPr>
                <w:rFonts w:ascii="Arial" w:hAnsi="Arial"/>
                <w:b/>
                <w:sz w:val="19"/>
              </w:rPr>
              <w:t>Format</w:t>
            </w:r>
          </w:p>
        </w:tc>
        <w:tc>
          <w:tcPr>
            <w:tcW w:type="dxa" w:w="2268"/>
            <w:shd w:val="clear" w:fill="e0e7ff"/>
          </w:tcPr>
          <w:p>
            <w:r>
              <w:rPr>
                <w:rFonts w:ascii="Arial" w:hAnsi="Arial"/>
                <w:b/>
                <w:sz w:val="19"/>
              </w:rPr>
              <w:t>Budget estimé</w:t>
            </w:r>
          </w:p>
        </w:tc>
        <w:tc>
          <w:tcPr>
            <w:tcW w:type="dxa" w:w="2268"/>
            <w:shd w:val="clear" w:fill="e0e7ff"/>
          </w:tcPr>
          <w:p>
            <w:r>
              <w:rPr>
                <w:rFonts w:ascii="Arial" w:hAnsi="Arial"/>
                <w:b/>
                <w:sz w:val="19"/>
              </w:rPr>
              <w:t>Priorité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LinkedIn Ads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Sponsored content ciblé "comptable, RH, IT, marketeur, 4/5e, Belgique"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400–700€/mois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🔴 Priorité 1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Google Ads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Mots-clés : "flexi-job bureau 2026", "flexi-job télétravail légal"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200–400€/mois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🔴 Priorité 1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Articles L'Echo / Trends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Communiqué de presse sur la loi juillet 2026 + FlexMoney comme solution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Relations presse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🔴 Priorité 1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Newsletters pro (IEC, IRE)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Publipostage partenaires : expert-comptables, instituts RH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Partenariat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🟠 Priorité 2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Webinaire LinkedIn Live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"Flexi-job intellectuel 2026 : ce que vous devez savoir" — 30 min avec un juriste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Temps animateur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🟠 Priorité 2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SEO / Blog flexmoney.be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Articles : "Puis-je faire du flexi-job si je suis salarié 4/5e ?"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Gratuit (temps)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🟡 Priorité 3</w:t>
            </w:r>
          </w:p>
        </w:tc>
      </w:tr>
    </w:tbl>
    <w:p>
      <w:pPr>
        <w:spacing w:after="120"/>
      </w:pPr>
    </w:p>
    <w:p>
      <w:pPr>
        <w:pStyle w:val="Heading2"/>
      </w:pPr>
      <w:r>
        <w:t>2.4  Approche humaine &amp; relation directe</w:t>
      </w:r>
    </w:p>
    <w:p>
      <w:pPr>
        <w:spacing w:before="0" w:after="160"/>
        <w:jc w:val="both"/>
      </w:pPr>
      <w:r>
        <w:rPr>
          <w:rFonts w:ascii="Arial" w:hAnsi="Arial"/>
          <w:b w:val="0"/>
          <w:i w:val="0"/>
        </w:rPr>
        <w:t>Ce profil fait confiance aux pairs et aux experts, pas aux pubs. L'approche humaine passe par la légitimité : un juriste qui explique, un comptable qui témoigne, une association professionnelle qui valide.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Légitimité juridique — </w:t>
      </w:r>
      <w:r>
        <w:rPr>
          <w:rFonts w:ascii="Arial" w:hAnsi="Arial"/>
        </w:rPr>
        <w:t>Organiser des webinaires avec un avocat spécialisé en droit social qui explique la loi juillet 2026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Secrétariats sociaux — </w:t>
      </w:r>
      <w:r>
        <w:rPr>
          <w:rFonts w:ascii="Arial" w:hAnsi="Arial"/>
        </w:rPr>
        <w:t>Contacter les secrétariats sociaux (Securex, SD Worx, Partena) pour des partenariats de formation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B2B indirect — </w:t>
      </w:r>
      <w:r>
        <w:rPr>
          <w:rFonts w:ascii="Arial" w:hAnsi="Arial"/>
        </w:rPr>
        <w:t>Démarcher les entreprises directement : proposer FlexMoney comme outil pour leurs salariés 4/5e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Preuve sociale — </w:t>
      </w:r>
      <w:r>
        <w:rPr>
          <w:rFonts w:ascii="Arial" w:hAnsi="Arial"/>
        </w:rPr>
        <w:t>Témoignages vidéo de 60 secondes : un comptable explique comment il gagne 500€/mois le vendredi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Événements — </w:t>
      </w:r>
      <w:r>
        <w:rPr>
          <w:rFonts w:ascii="Arial" w:hAnsi="Arial"/>
        </w:rPr>
        <w:t>Présence aux événements HR (HR Square, HR One) dès septembre 2026</w:t>
      </w:r>
    </w:p>
    <w:p>
      <w:pPr>
        <w:pStyle w:val="Heading2"/>
      </w:pPr>
      <w:r>
        <w:t>2.5  Stratégie contenu éducatif (SEO + réseaux)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</w:rPr>
        <w:t>Ce profil recherche activement des informations avant de s'inscrire. FlexMoney doit être la première source fiable qu'il trouve.</w:t>
      </w:r>
    </w:p>
    <w:p>
      <w:pPr>
        <w:pStyle w:val="ListBullet"/>
        <w:spacing w:after="60" w:before="0"/>
        <w:ind w:left="454"/>
      </w:pPr>
      <w:r>
        <w:rPr>
          <w:rFonts w:ascii="Arial" w:hAnsi="Arial"/>
        </w:rPr>
        <w:t>"Puis-je faire du flexi-job si je suis salarié 4/5e ? La réponse officielle."</w:t>
      </w:r>
    </w:p>
    <w:p>
      <w:pPr>
        <w:pStyle w:val="ListBullet"/>
        <w:spacing w:after="60" w:before="0"/>
        <w:ind w:left="454"/>
      </w:pPr>
      <w:r>
        <w:rPr>
          <w:rFonts w:ascii="Arial" w:hAnsi="Arial"/>
        </w:rPr>
        <w:t>"Combien puis-je gagner en flexi-job sans perdre mes avantages ?"</w:t>
      </w:r>
    </w:p>
    <w:p>
      <w:pPr>
        <w:pStyle w:val="ListBullet"/>
        <w:spacing w:after="60" w:before="0"/>
        <w:ind w:left="454"/>
      </w:pPr>
      <w:r>
        <w:rPr>
          <w:rFonts w:ascii="Arial" w:hAnsi="Arial"/>
        </w:rPr>
        <w:t>"Flexi-job intellectuel : les 10 métiers les plus demandés en 2026"</w:t>
      </w:r>
    </w:p>
    <w:p>
      <w:pPr>
        <w:pStyle w:val="ListBullet"/>
        <w:spacing w:after="60" w:before="0"/>
        <w:ind w:left="454"/>
      </w:pPr>
      <w:r>
        <w:rPr>
          <w:rFonts w:ascii="Arial" w:hAnsi="Arial"/>
        </w:rPr>
        <w:t>"ONSS, Dimona, contrat : qui s'en occupe sur FlexMoney ?"</w:t>
      </w:r>
    </w:p>
    <w:p>
      <w:r>
        <w:br w:type="page"/>
      </w:r>
    </w:p>
    <w:p>
      <w:pPr>
        <w:pStyle w:val="Heading1"/>
      </w:pPr>
      <w:r>
        <w:rPr>
          <w:color w:val="16A34A"/>
        </w:rPr>
        <w:t>Profil 3 — Pensionnés à Expertise Technique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single" w:sz="6" w:space="0" w:color="16a34a"/>
              <w:left w:val="single" w:sz="6" w:space="0" w:color="16a34a"/>
              <w:bottom w:val="single" w:sz="6" w:space="0" w:color="16a34a"/>
              <w:right w:val="single" w:sz="6" w:space="0" w:color="16a34a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6A34A"/>
                <w:sz w:val="18"/>
              </w:rPr>
              <w:t>SNAPSHOT DU PROFIL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🎯 Cible : Anciens électriciens, plombiers, maçons, mécaniciens, hommes à tout faire — retraités actifs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🔥 Opportunité : Profil rarissime — expertise réelle que personne d'autre n'a, disponibilité en semaine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💡 Angle d'attaque : Valorisation de l'expérience et sentiment d'utilité, pas seulement le gain financier</w:t>
            </w:r>
          </w:p>
        </w:tc>
      </w:tr>
    </w:tbl>
    <w:p>
      <w:pPr>
        <w:spacing w:after="120"/>
      </w:pPr>
    </w:p>
    <w:p>
      <w:pPr>
        <w:pStyle w:val="Heading2"/>
      </w:pPr>
      <w:r>
        <w:t>3.1  Psychologie &amp; points de douleur</w:t>
      </w:r>
    </w:p>
    <w:p>
      <w:pPr>
        <w:spacing w:before="0" w:after="160"/>
        <w:jc w:val="both"/>
      </w:pPr>
      <w:r>
        <w:rPr>
          <w:rFonts w:ascii="Arial" w:hAnsi="Arial"/>
          <w:b w:val="0"/>
          <w:i w:val="0"/>
        </w:rPr>
        <w:t>C'est le profil le plus précieux et le plus difficile à atteindre. Il ne cherche pas une application — il cherche à se sentir utile, respecté, et reconnu pour ce qu'il sait faire. Il ne veut pas "travailler comme avant" mais partager son savoir quand il le décide, sans pression de rendement.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Frein technologique — </w:t>
      </w:r>
      <w:r>
        <w:rPr>
          <w:rFonts w:ascii="Arial" w:hAnsi="Arial"/>
        </w:rPr>
        <w:t>"Je ne suis pas bon avec les smartphones ou les applications"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Frein fiscal — </w:t>
      </w:r>
      <w:r>
        <w:rPr>
          <w:rFonts w:ascii="Arial" w:hAnsi="Arial"/>
        </w:rPr>
        <w:t>"Est-ce que ça va impacter ma pension si je gagne de l'argent ?"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Frein dignité — </w:t>
      </w:r>
      <w:r>
        <w:rPr>
          <w:rFonts w:ascii="Arial" w:hAnsi="Arial"/>
        </w:rPr>
        <w:t>"Je ne veux pas qu'on me traite comme un ouvrier à la chaîne à mon âge"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Frein confiance — </w:t>
      </w:r>
      <w:r>
        <w:rPr>
          <w:rFonts w:ascii="Arial" w:hAnsi="Arial"/>
        </w:rPr>
        <w:t>"Comment je sais que l'employeur est sérieux et que je serai bien traité ?"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Frein social — </w:t>
      </w:r>
      <w:r>
        <w:rPr>
          <w:rFonts w:ascii="Arial" w:hAnsi="Arial"/>
        </w:rPr>
        <w:t>"Mon entourage (enfants, médecin) va-t-il penser que je fais des bêtises ?"</w:t>
      </w:r>
    </w:p>
    <w:p>
      <w:pPr>
        <w:pStyle w:val="Heading2"/>
      </w:pPr>
      <w:r>
        <w:t>3.2  Message clé &amp; accroche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single" w:sz="6" w:space="0" w:color="16a34a"/>
              <w:left w:val="single" w:sz="6" w:space="0" w:color="16a34a"/>
              <w:bottom w:val="single" w:sz="6" w:space="0" w:color="16a34a"/>
              <w:right w:val="single" w:sz="6" w:space="0" w:color="16a34a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6A34A"/>
                <w:sz w:val="18"/>
              </w:rPr>
              <w:t>MESSAGE PRINCIPAL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"Votre expérience, c'est irremplaçable. Pas besoin de travailler au rythme d'autrefois.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 xml:space="preserve"> Une heure, un problème résolu, un employeur soulagé.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 xml:space="preserve"> FlexMoney vous met en contact avec des indépendants qui ont besoin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 xml:space="preserve"> de quelqu'un qui a VRAIMENT tout vu."</w:t>
            </w:r>
          </w:p>
        </w:tc>
      </w:tr>
    </w:tbl>
    <w:p>
      <w:pPr>
        <w:spacing w:after="120"/>
      </w:pPr>
    </w:p>
    <w:p>
      <w:pPr>
        <w:spacing w:before="0" w:after="60"/>
        <w:jc w:val="left"/>
      </w:pPr>
      <w:r>
        <w:rPr>
          <w:rFonts w:ascii="Arial" w:hAnsi="Arial"/>
          <w:b/>
          <w:i w:val="0"/>
        </w:rPr>
        <w:t>Variantes selon le support :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Presse locale — </w:t>
      </w:r>
      <w:r>
        <w:rPr>
          <w:rFonts w:ascii="Arial" w:hAnsi="Arial"/>
        </w:rPr>
        <w:t>"Vous avez 40 ans d'expérience. Valorisez-les à votre rythme." (journal local, radio locale)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Affiche physique — </w:t>
      </w:r>
      <w:r>
        <w:rPr>
          <w:rFonts w:ascii="Arial" w:hAnsi="Arial"/>
        </w:rPr>
        <w:t>"Vous n'avez pas envie de rester inactif ? Aidez un indépendant quand vous en avez envie." (affiche en commune, CPAS)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Réseaux sociaux — </w:t>
      </w:r>
      <w:r>
        <w:rPr>
          <w:rFonts w:ascii="Arial" w:hAnsi="Arial"/>
        </w:rPr>
        <w:t>"Papa a résolu en 20 minutes ce que le plombier ne voyait pas depuis 2 semaines." (témoignage enfant adulte sur Facebook)</w:t>
      </w:r>
    </w:p>
    <w:p>
      <w:pPr>
        <w:pStyle w:val="Heading2"/>
      </w:pPr>
      <w:r>
        <w:t>3.3  Canaux d'acquisition — priorité hors-digital</w:t>
      </w:r>
    </w:p>
    <w:p>
      <w:pPr>
        <w:spacing w:before="0" w:after="160"/>
        <w:jc w:val="both"/>
      </w:pPr>
      <w:r>
        <w:rPr>
          <w:rFonts w:ascii="Arial" w:hAnsi="Arial"/>
          <w:b w:val="0"/>
          <w:i w:val="0"/>
        </w:rPr>
        <w:t>Ce profil est peu présent sur les réseaux sociaux professionnels. La stratégie doit prioriser les canaux physiques et les intermédiaires de confiance.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cfce7"/>
          </w:tcPr>
          <w:p>
            <w:r>
              <w:rPr>
                <w:rFonts w:ascii="Arial" w:hAnsi="Arial"/>
                <w:b/>
                <w:sz w:val="19"/>
              </w:rPr>
              <w:t>Canal</w:t>
            </w:r>
          </w:p>
        </w:tc>
        <w:tc>
          <w:tcPr>
            <w:tcW w:type="dxa" w:w="2268"/>
            <w:shd w:val="clear" w:fill="dcfce7"/>
          </w:tcPr>
          <w:p>
            <w:r>
              <w:rPr>
                <w:rFonts w:ascii="Arial" w:hAnsi="Arial"/>
                <w:b/>
                <w:sz w:val="19"/>
              </w:rPr>
              <w:t>Format</w:t>
            </w:r>
          </w:p>
        </w:tc>
        <w:tc>
          <w:tcPr>
            <w:tcW w:type="dxa" w:w="2268"/>
            <w:shd w:val="clear" w:fill="dcfce7"/>
          </w:tcPr>
          <w:p>
            <w:r>
              <w:rPr>
                <w:rFonts w:ascii="Arial" w:hAnsi="Arial"/>
                <w:b/>
                <w:sz w:val="19"/>
              </w:rPr>
              <w:t>Budget estimé</w:t>
            </w:r>
          </w:p>
        </w:tc>
        <w:tc>
          <w:tcPr>
            <w:tcW w:type="dxa" w:w="2268"/>
            <w:shd w:val="clear" w:fill="dcfce7"/>
          </w:tcPr>
          <w:p>
            <w:r>
              <w:rPr>
                <w:rFonts w:ascii="Arial" w:hAnsi="Arial"/>
                <w:b/>
                <w:sz w:val="19"/>
              </w:rPr>
              <w:t>Priorité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Commune / CPAS / CCCA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Flyers + info dans les bulletins communaux et espaces seniors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Très faible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🔴 Priorité 1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Magasins bricolage (Brico, Gamma, Hubo)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Flyers sur les tableaux d'affichage + partenariat avec responsable magasin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Faible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🔴 Priorité 1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Journaux locaux (Vers l'Avenir, La Meuse, Het Laatste Nieuws)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Article "ils partagent leur expérience via une app belge"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Relations presse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🔴 Priorité 1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Radio locale (Vivacité, Contact)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Témoignage de 2 minutes d'un retraité utilisateur FlexMoney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Gratuit/faible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🟠 Priorité 2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Associations de pensionnés (CSC Seniors, Fédération Aînés)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Présentation lors d'une réunion mensuelle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Temps animateur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🟠 Priorité 2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Facebook Groupes seniors BE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Posts organiques, témoignages vidéo courts, questions-réponses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Gratuit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9"/>
              </w:rPr>
              <w:t>🟠 Priorité 2</w:t>
            </w:r>
          </w:p>
        </w:tc>
      </w:tr>
    </w:tbl>
    <w:p>
      <w:pPr>
        <w:spacing w:after="120"/>
      </w:pPr>
    </w:p>
    <w:p>
      <w:pPr>
        <w:pStyle w:val="Heading2"/>
      </w:pPr>
      <w:r>
        <w:t>3.4  La stratégie de l'intermédiaire — clé du succès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ce8"/>
            <w:tcBorders>
              <w:top w:val="single" w:sz="6" w:space="0" w:color="ca8a04"/>
              <w:left w:val="single" w:sz="6" w:space="0" w:color="ca8a04"/>
              <w:bottom w:val="single" w:sz="6" w:space="0" w:color="ca8a04"/>
              <w:right w:val="single" w:sz="6" w:space="0" w:color="ca8a04"/>
            </w:tcBorders>
            <w:tcMar>
              <w:top w:w="80" w:type="dxa"/>
              <w:left w:w="180" w:type="dxa"/>
              <w:bottom w:w="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CA8A04"/>
                <w:sz w:val="18"/>
              </w:rPr>
              <w:t>INSIGHT STRATÉGIQUE CLEF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Le pensionné n'utilisera souvent pas l'application lui-même au départ.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C'est son fils, sa fille, ou son petit-fils qui l'inscrira pour lui.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FlexMoney doit donc cibler AUSSI les enfants adultes de ces profils.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Message enfant : "Votre père/mère a des compétences qui valent de l'argent.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 xml:space="preserve"> Aidez-le à les valoriser en 5 minutes sur flexmoney.be"</w:t>
            </w:r>
          </w:p>
        </w:tc>
      </w:tr>
    </w:tbl>
    <w:p>
      <w:pPr>
        <w:spacing w:after="120"/>
      </w:pP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UX aidant — </w:t>
      </w:r>
      <w:r>
        <w:rPr>
          <w:rFonts w:ascii="Arial" w:hAnsi="Arial"/>
        </w:rPr>
        <w:t>Adapter l'inscription pour permettre à un "aidant" de créer le profil au nom du pensionné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Support humain — </w:t>
      </w:r>
      <w:r>
        <w:rPr>
          <w:rFonts w:ascii="Arial" w:hAnsi="Arial"/>
        </w:rPr>
        <w:t>Prévoir une option "appel téléphonique d'assistance à l'inscription" (numéro visible sur la landing)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Support papier — </w:t>
      </w:r>
      <w:r>
        <w:rPr>
          <w:rFonts w:ascii="Arial" w:hAnsi="Arial"/>
        </w:rPr>
        <w:t>Fiche PDF imprimable "Comment s'inscrire sur FlexMoney" à distribuer en CPAS/commune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Ciblage indirect — </w:t>
      </w:r>
      <w:r>
        <w:rPr>
          <w:rFonts w:ascii="Arial" w:hAnsi="Arial"/>
        </w:rPr>
        <w:t>Campagne Facebook ciblée 40–55 ans : "Votre père bricoleur cherche à rester actif ?"</w:t>
      </w:r>
    </w:p>
    <w:p>
      <w:pPr>
        <w:pStyle w:val="Heading2"/>
      </w:pPr>
      <w:r>
        <w:t>3.5  Valoriser l'expertise, pas le salaire</w:t>
      </w:r>
    </w:p>
    <w:p>
      <w:pPr>
        <w:spacing w:before="0" w:after="160"/>
        <w:jc w:val="both"/>
      </w:pPr>
      <w:r>
        <w:rPr>
          <w:rFonts w:ascii="Arial" w:hAnsi="Arial"/>
          <w:b w:val="0"/>
          <w:i w:val="0"/>
        </w:rPr>
        <w:t>Pour ce profil, l'argument financier n'est pas le premier levier. Ce qui compte : se sentir utile, être reconnu comme expert, choisir ses missions librement, ne pas être traité comme un "petit job".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Reconnaissance — </w:t>
      </w:r>
      <w:r>
        <w:rPr>
          <w:rFonts w:ascii="Arial" w:hAnsi="Arial"/>
        </w:rPr>
        <w:t>Mettre en avant les évaluations et le "badge Expert Confirmé" sur le profil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Réciprocité — </w:t>
      </w:r>
      <w:r>
        <w:rPr>
          <w:rFonts w:ascii="Arial" w:hAnsi="Arial"/>
        </w:rPr>
        <w:t>"Votre avis compte : les employeurs vous évaluent après chaque mission — et vous aussi"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Visibilité — </w:t>
      </w:r>
      <w:r>
        <w:rPr>
          <w:rFonts w:ascii="Arial" w:hAnsi="Arial"/>
        </w:rPr>
        <w:t>Catégorie dédiée "Expertise Senior" sur la plateforme pour mettre en valeur ce profil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Missions adaptées — </w:t>
      </w:r>
      <w:r>
        <w:rPr>
          <w:rFonts w:ascii="Arial" w:hAnsi="Arial"/>
        </w:rPr>
        <w:t>Missions adaptées : durée courte (2–4h), déplacement limité, pas de port de charges lourdes</w:t>
      </w:r>
    </w:p>
    <w:p>
      <w:pPr>
        <w:pStyle w:val="ListBullet"/>
        <w:spacing w:after="60" w:before="0"/>
        <w:ind w:left="454"/>
      </w:pPr>
      <w:r>
        <w:rPr>
          <w:rFonts w:ascii="Arial" w:hAnsi="Arial"/>
          <w:b/>
        </w:rPr>
        <w:t xml:space="preserve">Liberté totale — </w:t>
      </w:r>
      <w:r>
        <w:rPr>
          <w:rFonts w:ascii="Arial" w:hAnsi="Arial"/>
        </w:rPr>
        <w:t>"Vous décidez. Pas d'obligation, pas de rendement. Juste votre savoir-faire."</w:t>
      </w:r>
    </w:p>
    <w:p>
      <w:r>
        <w:br w:type="page"/>
      </w:r>
    </w:p>
    <w:p>
      <w:pPr>
        <w:pStyle w:val="Heading1"/>
      </w:pPr>
      <w:r>
        <w:t>Synthèse — Plan d'Action Marketing</w:t>
      </w:r>
    </w:p>
    <w:p>
      <w:pPr>
        <w:spacing w:before="0" w:after="160"/>
        <w:jc w:val="left"/>
      </w:pPr>
      <w:r>
        <w:rPr>
          <w:rFonts w:ascii="Arial" w:hAnsi="Arial"/>
          <w:b/>
          <w:i w:val="0"/>
          <w:sz w:val="24"/>
        </w:rPr>
        <w:t>Priorisation par ordre de lancement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1e293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14"/>
            <w:shd w:val="clear" w:fill="1e293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Profil cible</w:t>
            </w:r>
          </w:p>
        </w:tc>
        <w:tc>
          <w:tcPr>
            <w:tcW w:type="dxa" w:w="1814"/>
            <w:shd w:val="clear" w:fill="1e293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Canal</w:t>
            </w:r>
          </w:p>
        </w:tc>
        <w:tc>
          <w:tcPr>
            <w:tcW w:type="dxa" w:w="1814"/>
            <w:shd w:val="clear" w:fill="1e293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Budget/mois</w:t>
            </w:r>
          </w:p>
        </w:tc>
        <w:tc>
          <w:tcPr>
            <w:tcW w:type="dxa" w:w="1814"/>
            <w:shd w:val="clear" w:fill="1e293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Timing</w:t>
            </w:r>
          </w:p>
        </w:tc>
      </w:tr>
      <w:tr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Campagne FB/IG Horeca Belgique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Horeca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Facebook Ads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300–500€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Dès maintenant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Visite écoles Horeca (Bruxelles, Liège)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Horeca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Terrain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Gratuit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Septembre 2026</w:t>
            </w:r>
          </w:p>
        </w:tc>
      </w:tr>
      <w:tr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Programme parrainage (20€ crédit)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Horeca + Digital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In-app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Variable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Dès lancement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Campagne LinkedIn "Loi juillet 2026"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Télétravailleurs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LinkedIn Ads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400–700€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Juillet 2026</w:t>
            </w:r>
          </w:p>
        </w:tc>
      </w:tr>
      <w:tr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Communiqué presse L'Echo / Trends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Télétravailleurs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Relations presse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Gratuit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Juillet 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Webinaire "Flexi-job intellectuel 2026"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Télétravailleurs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LinkedIn Live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Gratuit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Août 2026</w:t>
            </w:r>
          </w:p>
        </w:tc>
      </w:tr>
      <w:tr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Flyers CPAS / Communes wallonnes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Pensionnés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Print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200–400€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Septembre 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Affichage Brico/Gamma/Hubo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Pensionnés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Print/terrain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150–300€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sz w:val="18"/>
              </w:rPr>
              <w:t>Octobre 2026</w:t>
            </w:r>
          </w:p>
        </w:tc>
      </w:tr>
      <w:tr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Article presse locale (témoignage)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Pensionnés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Relations presse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Gratuit</w:t>
            </w:r>
          </w:p>
        </w:tc>
        <w:tc>
          <w:tcPr>
            <w:tcW w:type="dxa" w:w="1814"/>
            <w:shd w:val="clear" w:fill="f8fafc"/>
          </w:tcPr>
          <w:p>
            <w:r>
              <w:rPr>
                <w:rFonts w:ascii="Arial" w:hAnsi="Arial"/>
                <w:sz w:val="18"/>
              </w:rPr>
              <w:t>Octobre 2026</w:t>
            </w:r>
          </w:p>
        </w:tc>
      </w:tr>
    </w:tbl>
    <w:p>
      <w:pPr>
        <w:spacing w:after="240"/>
      </w:pPr>
    </w:p>
    <w:p>
      <w:pPr>
        <w:pStyle w:val="Heading2"/>
      </w:pPr>
      <w:r>
        <w:t>Budget marketing recommandé — Phase 1 (Juil–Oct 2026)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f0f0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E293B"/>
                <w:sz w:val="32"/>
              </w:rPr>
              <w:t>850–1500€/m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4748B"/>
                <w:sz w:val="17"/>
              </w:rPr>
              <w:t>Digital Ads total</w:t>
            </w:r>
          </w:p>
        </w:tc>
        <w:tc>
          <w:tcPr>
            <w:tcW w:type="dxa" w:w="2268"/>
            <w:shd w:val="clear" w:color="auto" w:fill="f0fdf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E293B"/>
                <w:sz w:val="32"/>
              </w:rPr>
              <w:t>400–700€/m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4748B"/>
                <w:sz w:val="17"/>
              </w:rPr>
              <w:t>Print &amp; terrain</w:t>
            </w:r>
          </w:p>
        </w:tc>
        <w:tc>
          <w:tcPr>
            <w:tcW w:type="dxa" w:w="2268"/>
            <w:shd w:val="clear" w:color="auto" w:fill="fffbe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E293B"/>
                <w:sz w:val="32"/>
              </w:rPr>
              <w:t>Gratuit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4748B"/>
                <w:sz w:val="17"/>
              </w:rPr>
              <w:t>Relations presse</w:t>
            </w:r>
          </w:p>
        </w:tc>
        <w:tc>
          <w:tcPr>
            <w:tcW w:type="dxa" w:w="2268"/>
            <w:shd w:val="clear" w:color="auto" w:fill="fdf2f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E293B"/>
                <w:sz w:val="32"/>
              </w:rPr>
              <w:t>1.250–2.200€/m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4748B"/>
                <w:sz w:val="17"/>
              </w:rPr>
              <w:t>Budget total estimé</w:t>
            </w:r>
          </w:p>
        </w:tc>
      </w:tr>
    </w:tbl>
    <w:p>
      <w:pPr>
        <w:spacing w:after="200"/>
      </w:pPr>
    </w:p>
    <w:p>
      <w:pPr>
        <w:spacing w:before="80" w:after="80"/>
        <w:pBdr>
          <w:bottom w:val="single" w:sz="4" w:space="1" w:color="6366f1"/>
        </w:pBdr>
      </w:pPr>
    </w:p>
    <w:p>
      <w:pPr>
        <w:spacing w:before="200" w:after="0"/>
        <w:jc w:val="center"/>
      </w:pPr>
      <w:r>
        <w:rPr>
          <w:rFonts w:ascii="Arial" w:hAnsi="Arial"/>
          <w:b w:val="0"/>
          <w:i w:val="0"/>
          <w:color w:val="94A3B8"/>
          <w:sz w:val="18"/>
        </w:rPr>
        <w:t>Document produit par FlexMoney Intelligence Marketing — Confidentiel interne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E29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6366F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