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val="0"/>
          <w:i w:val="0"/>
          <w:color w:val="555555"/>
          <w:sz w:val="20"/>
          <w:u w:val="none"/>
        </w:rPr>
        <w:t>GG Advisory  |  Monthly Signals Digest</w:t>
      </w:r>
    </w:p>
    <w:p>
      <w:pPr>
        <w:spacing w:before="0" w:after="120"/>
      </w:pPr>
      <w:r>
        <w:rPr>
          <w:rFonts w:ascii="Calibri" w:hAnsi="Calibri"/>
          <w:b/>
          <w:i w:val="0"/>
          <w:color w:val="1B7A6B"/>
          <w:sz w:val="44"/>
          <w:u w:val="none"/>
        </w:rPr>
        <w:t>March 2026</w:t>
      </w:r>
    </w:p>
    <w:p>
      <w:pPr>
        <w:spacing w:before="40" w:after="40"/>
        <w:pBdr>
          <w:bottom w:val="single" w:sz="18" w:space="1" w:color="1B7A6B"/>
        </w:pBdr>
      </w:pPr>
    </w:p>
    <w:p>
      <w:pPr>
        <w:spacing w:before="200" w:after="80"/>
      </w:pPr>
      <w:r>
        <w:rPr>
          <w:rFonts w:ascii="Calibri" w:hAnsi="Calibri"/>
          <w:b/>
          <w:i w:val="0"/>
          <w:color w:val="2C2C2C"/>
          <w:sz w:val="24"/>
          <w:u w:val="single"/>
        </w:rPr>
        <w:t>Top Lines</w:t>
      </w:r>
    </w:p>
    <w:p>
      <w:pPr>
        <w:pStyle w:val="ListBullet"/>
        <w:spacing w:before="40" w:after="40"/>
      </w:pPr>
      <w:r>
        <w:rPr>
          <w:rFonts w:ascii="Calibri" w:hAnsi="Calibri"/>
          <w:b w:val="0"/>
          <w:i w:val="0"/>
          <w:color w:val="2C2C2C"/>
          <w:sz w:val="22"/>
          <w:u w:val="none"/>
        </w:rPr>
        <w:t>AEMC updates market price cap to $23,200/MWh from 1 July 2026</w:t>
      </w:r>
    </w:p>
    <w:p>
      <w:pPr>
        <w:pStyle w:val="ListBullet"/>
        <w:spacing w:before="40" w:after="40"/>
      </w:pPr>
      <w:r>
        <w:rPr>
          <w:rFonts w:ascii="Calibri" w:hAnsi="Calibri"/>
          <w:b w:val="0"/>
          <w:i w:val="0"/>
          <w:color w:val="2C2C2C"/>
          <w:sz w:val="22"/>
          <w:u w:val="none"/>
        </w:rPr>
        <w:t>AEMC draft rules propose clearer gas supply risk management</w:t>
      </w:r>
    </w:p>
    <w:p>
      <w:pPr>
        <w:pStyle w:val="ListBullet"/>
        <w:spacing w:before="40" w:after="40"/>
      </w:pPr>
      <w:r>
        <w:rPr>
          <w:rFonts w:ascii="Calibri" w:hAnsi="Calibri"/>
          <w:b w:val="0"/>
          <w:i w:val="0"/>
          <w:color w:val="2C2C2C"/>
          <w:sz w:val="22"/>
          <w:u w:val="none"/>
        </w:rPr>
        <w:t>NAB issues $7 billion green bond to support net zero goals</w:t>
      </w:r>
    </w:p>
    <w:p>
      <w:pPr>
        <w:spacing w:before="280" w:after="0"/>
      </w:pPr>
    </w:p>
    <w:p>
      <w:pPr>
        <w:spacing w:before="0" w:after="80"/>
      </w:pPr>
      <w:r>
        <w:rPr>
          <w:rFonts w:ascii="Calibri" w:hAnsi="Calibri"/>
          <w:b/>
          <w:i w:val="0"/>
          <w:color w:val="1B7A6B"/>
          <w:sz w:val="26"/>
          <w:u w:val="single"/>
        </w:rPr>
        <w:t>ENERGY TRANSITION</w:t>
      </w:r>
    </w:p>
    <w:p>
      <w:pPr>
        <w:spacing w:before="40" w:after="40"/>
        <w:pBdr>
          <w:bottom w:val="single" w:sz="8" w:space="1" w:color="1B7A6B"/>
        </w:pBdr>
      </w:pPr>
    </w:p>
    <w:p>
      <w:pPr>
        <w:spacing w:before="200" w:after="40"/>
      </w:pPr>
      <w:r>
        <w:rPr>
          <w:rFonts w:ascii="Calibri" w:hAnsi="Calibri"/>
          <w:b/>
          <w:i w:val="0"/>
          <w:color w:val="2C2C2C"/>
          <w:sz w:val="23"/>
          <w:u w:val="none"/>
        </w:rPr>
        <w:t>AEMC Updates Market Price Cap for 2026-27</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26 February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Australian Energy Market Commission (AEMC) has adjusted the National Electricity Market's (NEM) market price cap (MPC) to $23,200/MWh, effective from 1 July 2026. This adjustment follows a rule made on 7 December 2023 to increase the base rate of the MPC and cumulative price threshold (CPT) in line with the consumer price index. The CPT will rise to $2,225,900/MWh. These changes are part of the annual reliability settings update required by the National Electricity Rules.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CFOs in the energy sector must adjust financial models to account for increased price caps from 1 July 2026, impacting cost projections and pricing strategies.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Monitor AEMC announcements for any further adjustments to reliability settings or market rules.</w:t>
      </w:r>
    </w:p>
    <w:p>
      <w:pPr>
        <w:spacing w:before="40" w:after="120"/>
      </w:pPr>
      <w:r>
        <w:rPr>
          <w:rFonts w:ascii="Calibri" w:hAnsi="Calibri"/>
          <w:b/>
          <w:i w:val="0"/>
          <w:color w:val="555555"/>
          <w:sz w:val="21"/>
          <w:u w:val="none"/>
        </w:rPr>
        <w:t xml:space="preserve">Source:  </w:t>
      </w:r>
      <w:hyperlink r:id="rId9" w:history="1">
        <w:r>
          <w:rPr>
            <w:rStyle w:val="Hyperlink"/>
            <w:color w:val="005EA2"/>
            <w:sz w:val="22"/>
            <w:szCs w:val="22"/>
          </w:rPr>
          <w:t>AEMC</w:t>
        </w:r>
      </w:hyperlink>
    </w:p>
    <w:p>
      <w:pPr>
        <w:spacing w:before="200" w:after="40"/>
      </w:pPr>
      <w:r>
        <w:rPr>
          <w:rFonts w:ascii="Calibri" w:hAnsi="Calibri"/>
          <w:b/>
          <w:i w:val="0"/>
          <w:color w:val="2C2C2C"/>
          <w:sz w:val="23"/>
          <w:u w:val="none"/>
        </w:rPr>
        <w:t>AEMC Proposes Clearer Rules to Manage Gas Supply Risks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26 February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AEMC has released draft rules aimed at improving gas supply management in Australia's east coast energy system. The proposed reforms include clearer warning signals for gas supply risks and enhanced forecasting to provide more granular, region-specific forecasts. The draft rules also outline a Supplier of Last Resort (SoLR) mechanism, ensuring AEMO can only intervene after market responses have been exhausted. Public submissions on these draft rules are open until 9 April and 23 April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Energy companies should prepare to engage with the consultation process by 9 April 2026 to influence the final rules, which will affect operational strategies and risk management.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Track the final determinations expected in mid-2026 for implications on gas supply operations.</w:t>
      </w:r>
    </w:p>
    <w:p>
      <w:pPr>
        <w:spacing w:before="40" w:after="120"/>
      </w:pPr>
      <w:r>
        <w:rPr>
          <w:rFonts w:ascii="Calibri" w:hAnsi="Calibri"/>
          <w:b/>
          <w:i w:val="0"/>
          <w:color w:val="555555"/>
          <w:sz w:val="21"/>
          <w:u w:val="none"/>
        </w:rPr>
        <w:t xml:space="preserve">Source:  </w:t>
      </w:r>
      <w:hyperlink r:id="rId10" w:history="1">
        <w:r>
          <w:rPr>
            <w:rStyle w:val="Hyperlink"/>
            <w:color w:val="005EA2"/>
            <w:sz w:val="22"/>
            <w:szCs w:val="22"/>
          </w:rPr>
          <w:t>AEMC</w:t>
        </w:r>
      </w:hyperlink>
    </w:p>
    <w:p>
      <w:pPr>
        <w:spacing w:before="280" w:after="0"/>
      </w:pPr>
    </w:p>
    <w:p>
      <w:pPr>
        <w:spacing w:before="0" w:after="80"/>
      </w:pPr>
      <w:r>
        <w:rPr>
          <w:rFonts w:ascii="Calibri" w:hAnsi="Calibri"/>
          <w:b/>
          <w:i w:val="0"/>
          <w:color w:val="1B7A6B"/>
          <w:sz w:val="26"/>
          <w:u w:val="single"/>
        </w:rPr>
        <w:t>ESG REPORTING</w:t>
      </w:r>
    </w:p>
    <w:p>
      <w:pPr>
        <w:spacing w:before="40" w:after="40"/>
        <w:pBdr>
          <w:bottom w:val="single" w:sz="8" w:space="1" w:color="1B7A6B"/>
        </w:pBdr>
      </w:pPr>
    </w:p>
    <w:p>
      <w:pPr>
        <w:spacing w:before="200" w:after="40"/>
      </w:pPr>
      <w:r>
        <w:rPr>
          <w:rFonts w:ascii="Calibri" w:hAnsi="Calibri"/>
          <w:b/>
          <w:i w:val="0"/>
          <w:color w:val="2C2C2C"/>
          <w:sz w:val="23"/>
          <w:u w:val="none"/>
        </w:rPr>
        <w:t>EFRAG Adds Dutch and Irish to VSME Digital Template</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26 February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EFRAG has updated the VSME Digital Template to include Dutch and Irish language support and launched a Data Migration tool to facilitate upgrades. This initiative aims to enhance the accessibility of VSME reports for SMEs across the EU. The updates are part of EFRAG's ongoing efforts to support SMEs in producing compliant reports under the European Sustainability Reporting Standards (ESRS).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companies with EU operations should consider leveraging these tools to ensure compliance with ESRS and streamline their reporting processes.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Follow EFRAG updates for future enhancements to the VSME Digital Template and related tools.</w:t>
      </w:r>
    </w:p>
    <w:p>
      <w:pPr>
        <w:spacing w:before="40" w:after="120"/>
      </w:pPr>
      <w:r>
        <w:rPr>
          <w:rFonts w:ascii="Calibri" w:hAnsi="Calibri"/>
          <w:b/>
          <w:i w:val="0"/>
          <w:color w:val="555555"/>
          <w:sz w:val="21"/>
          <w:u w:val="none"/>
        </w:rPr>
        <w:t xml:space="preserve">Source:  </w:t>
      </w:r>
      <w:hyperlink r:id="rId11" w:history="1">
        <w:r>
          <w:rPr>
            <w:rStyle w:val="Hyperlink"/>
            <w:color w:val="005EA2"/>
            <w:sz w:val="22"/>
            <w:szCs w:val="22"/>
          </w:rPr>
          <w:t>EFRAG</w:t>
        </w:r>
      </w:hyperlink>
    </w:p>
    <w:p>
      <w:pPr>
        <w:spacing w:before="200" w:after="40"/>
      </w:pPr>
      <w:r>
        <w:rPr>
          <w:rFonts w:ascii="Calibri" w:hAnsi="Calibri"/>
          <w:b/>
          <w:i w:val="0"/>
          <w:color w:val="2C2C2C"/>
          <w:sz w:val="23"/>
          <w:u w:val="none"/>
        </w:rPr>
        <w:t>Help Shape Europe’s Voice on Business Conduct Reporting</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26 February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EFRAG is hosting workshops on 17 and 18 March 2026 to gather feedback on the GRI standards for Competition, Corruption, and Public Policy. These workshops aim to align the standards with the European Sustainability Reporting Standards (ESRS) under the Corporate Sustainability Reporting Directive (CSRD). Stakeholders, especially those involved in CSRD/ESRS reporting, are encouraged to participate.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companies with European interests should participate to influence the development of standards that may impact their reporting obligations.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Register for the workshops by the specified dates to ensure participation and stay informed on the outcomes.</w:t>
      </w:r>
    </w:p>
    <w:p>
      <w:pPr>
        <w:spacing w:before="40" w:after="120"/>
      </w:pPr>
      <w:r>
        <w:rPr>
          <w:rFonts w:ascii="Calibri" w:hAnsi="Calibri"/>
          <w:b/>
          <w:i w:val="0"/>
          <w:color w:val="555555"/>
          <w:sz w:val="21"/>
          <w:u w:val="none"/>
        </w:rPr>
        <w:t xml:space="preserve">Source:  </w:t>
      </w:r>
      <w:hyperlink r:id="rId12" w:history="1">
        <w:r>
          <w:rPr>
            <w:rStyle w:val="Hyperlink"/>
            <w:color w:val="005EA2"/>
            <w:sz w:val="22"/>
            <w:szCs w:val="22"/>
          </w:rPr>
          <w:t>EFRAG</w:t>
        </w:r>
      </w:hyperlink>
    </w:p>
    <w:p>
      <w:pPr>
        <w:spacing w:before="280" w:after="0"/>
      </w:pPr>
    </w:p>
    <w:p>
      <w:pPr>
        <w:spacing w:before="0" w:after="80"/>
      </w:pPr>
      <w:r>
        <w:rPr>
          <w:rFonts w:ascii="Calibri" w:hAnsi="Calibri"/>
          <w:b/>
          <w:i w:val="0"/>
          <w:color w:val="1B7A6B"/>
          <w:sz w:val="26"/>
          <w:u w:val="single"/>
        </w:rPr>
        <w:t>SUSTAINABLE FINANCE &amp; INVESTMENT</w:t>
      </w:r>
    </w:p>
    <w:p>
      <w:pPr>
        <w:spacing w:before="40" w:after="40"/>
        <w:pBdr>
          <w:bottom w:val="single" w:sz="8" w:space="1" w:color="1B7A6B"/>
        </w:pBdr>
      </w:pPr>
    </w:p>
    <w:p>
      <w:pPr>
        <w:spacing w:before="200" w:after="40"/>
      </w:pPr>
      <w:r>
        <w:rPr>
          <w:rFonts w:ascii="Calibri" w:hAnsi="Calibri"/>
          <w:b/>
          <w:i w:val="0"/>
          <w:color w:val="2C2C2C"/>
          <w:sz w:val="23"/>
          <w:u w:val="none"/>
        </w:rPr>
        <w:t>$7 Billion Green Bond to Rally Nation’s Net Zero Goals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25 March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NAB has issued a $7 billion green bond to support Australia's net zero emissions targets. This bond will fund projects in renewable energy, energy efficiency, and other climate-related initiatives. The issuance aligns with Australia's commitment to transition to a low-carbon economy and demonstrates NAB's leadership in sustainable finance.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Investors should assess the bond's impact on portfolio alignment with net zero goals and consider participation in future green finance opportunities.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Monitor NAB's allocation reports for insights into funded projects and their environmental impact.</w:t>
      </w:r>
    </w:p>
    <w:p>
      <w:pPr>
        <w:spacing w:before="40" w:after="120"/>
      </w:pPr>
      <w:r>
        <w:rPr>
          <w:rFonts w:ascii="Calibri" w:hAnsi="Calibri"/>
          <w:b/>
          <w:i w:val="0"/>
          <w:color w:val="555555"/>
          <w:sz w:val="21"/>
          <w:u w:val="none"/>
        </w:rPr>
        <w:t xml:space="preserve">Source:  </w:t>
      </w:r>
      <w:hyperlink r:id="rId13" w:history="1">
        <w:r>
          <w:rPr>
            <w:rStyle w:val="Hyperlink"/>
            <w:color w:val="005EA2"/>
            <w:sz w:val="22"/>
            <w:szCs w:val="22"/>
          </w:rPr>
          <w:t>NAB</w:t>
        </w:r>
      </w:hyperlink>
    </w:p>
    <w:p>
      <w:pPr>
        <w:spacing w:before="280" w:after="0"/>
      </w:pPr>
    </w:p>
    <w:p>
      <w:pPr>
        <w:spacing w:before="0" w:after="80"/>
      </w:pPr>
      <w:r>
        <w:rPr>
          <w:rFonts w:ascii="Calibri" w:hAnsi="Calibri"/>
          <w:b/>
          <w:i w:val="0"/>
          <w:color w:val="1B7A6B"/>
          <w:sz w:val="26"/>
          <w:u w:val="single"/>
        </w:rPr>
        <w:t>CLEANTECH &amp; START-UP ECOSYSTEM — GRANTS &amp; ACCELERATORS RADAR</w:t>
      </w:r>
    </w:p>
    <w:p>
      <w:pPr>
        <w:spacing w:before="40" w:after="40"/>
        <w:pBdr>
          <w:bottom w:val="single" w:sz="8" w:space="1" w:color="1B7A6B"/>
        </w:pBdr>
      </w:pPr>
    </w:p>
    <w:p>
      <w:pPr>
        <w:spacing w:before="200" w:after="40"/>
      </w:pPr>
      <w:r>
        <w:rPr>
          <w:rFonts w:ascii="Calibri" w:hAnsi="Calibri"/>
          <w:b/>
          <w:i w:val="0"/>
          <w:color w:val="2C2C2C"/>
          <w:sz w:val="23"/>
          <w:u w:val="none"/>
        </w:rPr>
        <w:t>Closing soon — deadlines within the next 60 days</w:t>
      </w:r>
    </w:p>
    <w:p>
      <w:pPr>
        <w:spacing w:before="200" w:after="40"/>
      </w:pPr>
      <w:r>
        <w:rPr>
          <w:rFonts w:ascii="Calibri" w:hAnsi="Calibri"/>
          <w:b/>
          <w:i w:val="0"/>
          <w:color w:val="2C2C2C"/>
          <w:sz w:val="23"/>
          <w:u w:val="none"/>
        </w:rPr>
        <w:t>ACT Innovation Connect (ICON) Grant</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ACT Government's Innovation Connect grant provides $10,000–$30,000 in matched funding to early-stage Canberra-based businesses. Eligible costs include prototyping, market testing, IP/legal and commercialisation activities. The EOI round closes 10 April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few grants with a firm April deadline. Climate-tech founders based in or willing to establish in the ACT should apply immediately.</w:t>
      </w:r>
    </w:p>
    <w:p>
      <w:pPr>
        <w:spacing w:before="200" w:after="40"/>
      </w:pPr>
      <w:r>
        <w:rPr>
          <w:rFonts w:ascii="Calibri" w:hAnsi="Calibri"/>
          <w:b/>
          <w:i w:val="0"/>
          <w:color w:val="2C2C2C"/>
          <w:sz w:val="23"/>
          <w:u w:val="none"/>
        </w:rPr>
        <w:t>WA: Clean Energy Future Fund — Round 4</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WA Government's $9 million Round 4 provides grants of $100,000–$4,000,000 for clean energy projects that reduce greenhouse gas emissions. Priority areas include decarbonisation of heavy industry, long-duration energy storage, green exports, renewable energy supply, and projects with demonstrated benefits to First Nations peoples. Part of a $37M total CEFF commitment to 2030–31. Co-contribution required; exact ratio varies by project.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largest competitive clean energy grant currently open in WA. Well-suited for startups with deployable technology in energy storage, electrification, or renewable manufacturing seeking first in-market project funding.</w:t>
      </w:r>
    </w:p>
    <w:p>
      <w:pPr>
        <w:spacing w:before="200" w:after="40"/>
      </w:pPr>
      <w:r>
        <w:rPr>
          <w:rFonts w:ascii="Calibri" w:hAnsi="Calibri"/>
          <w:b/>
          <w:i w:val="0"/>
          <w:color w:val="2C2C2C"/>
          <w:sz w:val="23"/>
          <w:u w:val="none"/>
        </w:rPr>
        <w:t>NSW Emerging Technology Commercialisation Fund (ETCF)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NSW Office of the Chief Scientist and Engineer offers $500,000–$2M per project from a $20M pool. Priority sectors include net-zero technologies, local manufacturing, and housing innovation. Funding is a repayable grant (repayment triggered when EBITDA exceeds $500K). Matched funding required. Full applications due July 2026; outcomes October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largest state-level deep-tech commercialisation grants in Australia this year. Apply via SmartyGrants — the expression of interest stage closes 29 April.</w:t>
      </w:r>
    </w:p>
    <w:p>
      <w:pPr>
        <w:spacing w:before="200" w:after="40"/>
      </w:pPr>
      <w:r>
        <w:rPr>
          <w:rFonts w:ascii="Calibri" w:hAnsi="Calibri"/>
          <w:b/>
          <w:i w:val="0"/>
          <w:color w:val="2C2C2C"/>
          <w:sz w:val="23"/>
          <w:u w:val="none"/>
        </w:rPr>
        <w:t>National programs — open on a rolling basis</w:t>
      </w:r>
    </w:p>
    <w:p>
      <w:pPr>
        <w:spacing w:before="200" w:after="40"/>
      </w:pPr>
      <w:r>
        <w:rPr>
          <w:rFonts w:ascii="Calibri" w:hAnsi="Calibri"/>
          <w:b/>
          <w:i w:val="0"/>
          <w:color w:val="2C2C2C"/>
          <w:sz w:val="23"/>
          <w:u w:val="none"/>
        </w:rPr>
        <w:t>Australia's Economic Accelerator (AEA) — Ignite &amp; Innovate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Round 2 details and opening dates are published on aea.gov.au. The $1.6B envelope means multiple rounds are expected across 2026–2030.</w:t>
      </w:r>
    </w:p>
    <w:p>
      <w:pPr>
        <w:spacing w:before="200" w:after="40"/>
      </w:pPr>
      <w:r>
        <w:rPr>
          <w:rFonts w:ascii="Calibri" w:hAnsi="Calibri"/>
          <w:b/>
          <w:i w:val="0"/>
          <w:color w:val="2C2C2C"/>
          <w:sz w:val="23"/>
          <w:u w:val="none"/>
        </w:rPr>
        <w:t>ARENA Advancing Renewables Program</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Covers the widest range of clean energy technologies of any national program. Suitable for companies with working prototypes ready for demonstration at scale.</w:t>
      </w:r>
    </w:p>
    <w:p>
      <w:pPr>
        <w:spacing w:before="200" w:after="40"/>
      </w:pPr>
      <w:r>
        <w:rPr>
          <w:rFonts w:ascii="Calibri" w:hAnsi="Calibri"/>
          <w:b/>
          <w:i w:val="0"/>
          <w:color w:val="2C2C2C"/>
          <w:sz w:val="23"/>
          <w:u w:val="none"/>
        </w:rPr>
        <w:t>Future Made in Australia (FMIA) Innovation Fund — ARENA</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largest single cleantech manufacturing opportunity in Australia's history. ARENA encourages early engagement before submitting an EOI — contact their team first.</w:t>
      </w:r>
    </w:p>
    <w:p>
      <w:pPr>
        <w:spacing w:before="200" w:after="40"/>
      </w:pPr>
      <w:r>
        <w:rPr>
          <w:rFonts w:ascii="Calibri" w:hAnsi="Calibri"/>
          <w:b/>
          <w:i w:val="0"/>
          <w:color w:val="2C2C2C"/>
          <w:sz w:val="23"/>
          <w:u w:val="none"/>
        </w:rPr>
        <w:t>Brinc / Artesian Clean Energy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few cleantech-exclusive accelerators in Australia with a rolling application process and clear follow-on capital pathway via Artesian. The online format removes geography barriers.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Artesian's Clean Energy Seed Fund can follow with $200K–$2M. Artesian is also active in CEFC-backed co-investment mandates, providing access to further institutional capital.</w:t>
      </w:r>
    </w:p>
    <w:p>
      <w:pPr>
        <w:spacing w:before="200" w:after="40"/>
      </w:pPr>
      <w:r>
        <w:rPr>
          <w:rFonts w:ascii="Calibri" w:hAnsi="Calibri"/>
          <w:b/>
          <w:i w:val="0"/>
          <w:color w:val="2C2C2C"/>
          <w:sz w:val="23"/>
          <w:u w:val="none"/>
        </w:rPr>
        <w:t>CEFC / Virescent Ventures Fund 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startups that have cleared product-market fit and are ready for institutional equity, this is the most relevant Australian climate-tech fund currently deploying capital.</w:t>
      </w:r>
    </w:p>
    <w:p>
      <w:pPr>
        <w:spacing w:before="200" w:after="40"/>
      </w:pPr>
      <w:r>
        <w:rPr>
          <w:rFonts w:ascii="Calibri" w:hAnsi="Calibri"/>
          <w:b/>
          <w:i w:val="0"/>
          <w:color w:val="2C2C2C"/>
          <w:sz w:val="23"/>
          <w:u w:val="none"/>
        </w:rPr>
        <w:t>CSIRO ON Accelerate — Cohort 12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prestigious non-dilutive pathway for early-stage deep-tech founders in Australia. Subscribe to on@csiro.au for early notification when Cohort 12 opens.</w:t>
      </w:r>
    </w:p>
    <w:p>
      <w:pPr>
        <w:spacing w:before="200" w:after="40"/>
      </w:pPr>
      <w:r>
        <w:rPr>
          <w:rFonts w:ascii="Calibri" w:hAnsi="Calibri"/>
          <w:b/>
          <w:i w:val="0"/>
          <w:color w:val="2C2C2C"/>
          <w:sz w:val="23"/>
          <w:u w:val="none"/>
        </w:rPr>
        <w:t>EnergyLab Scaleup Program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An ideal companion to the Climate Solutions Accelerator for later-stage founders. Non-dilutive and free to apply — the AllEnergy showcase provides direct access to energy sector buyers.</w:t>
      </w:r>
    </w:p>
    <w:p>
      <w:pPr>
        <w:spacing w:before="200" w:after="40"/>
      </w:pPr>
      <w:r>
        <w:rPr>
          <w:rFonts w:ascii="Calibri" w:hAnsi="Calibri"/>
          <w:b/>
          <w:i w:val="0"/>
          <w:color w:val="2C2C2C"/>
          <w:sz w:val="23"/>
          <w:u w:val="none"/>
        </w:rPr>
        <w:t>Hydrogen Headstart — Round 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Hydrogen Production Tax Incentive ($2/kg refundable tax offset from 1 July 2027) is designed to complement Headstart, bridging the revenue gap until market prices reach parity.</w:t>
      </w:r>
    </w:p>
    <w:p>
      <w:pPr>
        <w:spacing w:before="200" w:after="40"/>
      </w:pPr>
      <w:r>
        <w:rPr>
          <w:rFonts w:ascii="Calibri" w:hAnsi="Calibri"/>
          <w:b/>
          <w:i w:val="0"/>
          <w:color w:val="2C2C2C"/>
          <w:sz w:val="23"/>
          <w:u w:val="none"/>
        </w:rPr>
        <w:t>Industry Growth Program (IGP)</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national programs directly supporting cleantech SMEs at early stage. Apply urgently — the pool is depleting. The NRF Net Zero Fund (concessional debt/equity, $3B+) is expected to open mid-2026 as a growth-stage complement.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NRF Net Zero Fund expected to open mid-2026 for larger growth-stage capital needs.</w:t>
      </w:r>
    </w:p>
    <w:p>
      <w:pPr>
        <w:spacing w:before="200" w:after="40"/>
      </w:pPr>
      <w:r>
        <w:rPr>
          <w:rFonts w:ascii="Calibri" w:hAnsi="Calibri"/>
          <w:b/>
          <w:i w:val="0"/>
          <w:color w:val="2C2C2C"/>
          <w:sz w:val="23"/>
          <w:u w:val="none"/>
        </w:rPr>
        <w:t>Main Sequence Ventures — Fund III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MSEQ is the largest LP in CSIRO's A$150M commitment through Australia's Economic Accelerator (AEA). Startups coming through AEA Ignite/Innovate have a natural pathway to MSEQ consideration.</w:t>
      </w:r>
    </w:p>
    <w:p>
      <w:pPr>
        <w:spacing w:before="200" w:after="40"/>
      </w:pPr>
      <w:r>
        <w:rPr>
          <w:rFonts w:ascii="Calibri" w:hAnsi="Calibri"/>
          <w:b/>
          <w:i w:val="0"/>
          <w:color w:val="2C2C2C"/>
          <w:sz w:val="23"/>
          <w:u w:val="none"/>
        </w:rPr>
        <w:t>National Reconstruction Fund — Net Zero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NRFC general portfolio (NRF priority areas, commercial terms) is already open. The Net Zero sub-fund will layer on additional concessionality from mid-2026. Register interest at nrf.gov.au.</w:t>
      </w:r>
    </w:p>
    <w:p>
      <w:pPr>
        <w:spacing w:before="200" w:after="40"/>
      </w:pPr>
      <w:r>
        <w:rPr>
          <w:rFonts w:ascii="Calibri" w:hAnsi="Calibri"/>
          <w:b/>
          <w:i w:val="0"/>
          <w:color w:val="2C2C2C"/>
          <w:sz w:val="23"/>
          <w:u w:val="none"/>
        </w:rPr>
        <w:t>R&amp;D Tax Incentive (R&amp;DTI)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Consult an R&amp;D tax specialist before lodging — the ATO audits R&amp;D claims closely and requires contemporaneous records of technical uncertainty, hypothesis, experiments, and outcomes.</w:t>
      </w:r>
    </w:p>
    <w:p>
      <w:pPr>
        <w:spacing w:before="200" w:after="40"/>
      </w:pPr>
      <w:r>
        <w:rPr>
          <w:rFonts w:ascii="Calibri" w:hAnsi="Calibri"/>
          <w:b/>
          <w:i w:val="0"/>
          <w:color w:val="2C2C2C"/>
          <w:sz w:val="23"/>
          <w:u w:val="none"/>
        </w:rPr>
        <w:t>Startmate Accelerator — Winter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highest-profile generalist accelerator in Australia with a strong climate-tech track record. Strong network effects: the Startmate community of founders, operators, and investors is one of Australia's most active and supportive.</w:t>
      </w:r>
    </w:p>
    <w:p>
      <w:pPr>
        <w:spacing w:before="200" w:after="40"/>
      </w:pPr>
      <w:r>
        <w:rPr>
          <w:rFonts w:ascii="Calibri" w:hAnsi="Calibri"/>
          <w:b/>
          <w:i w:val="0"/>
          <w:color w:val="2C2C2C"/>
          <w:sz w:val="23"/>
          <w:u w:val="none"/>
        </w:rPr>
        <w:t>State &amp; territory programs</w:t>
      </w:r>
    </w:p>
    <w:p>
      <w:pPr>
        <w:spacing w:before="200" w:after="40"/>
      </w:pPr>
      <w:r>
        <w:rPr>
          <w:rFonts w:ascii="Calibri" w:hAnsi="Calibri"/>
          <w:b/>
          <w:i w:val="0"/>
          <w:color w:val="2C2C2C"/>
          <w:sz w:val="23"/>
          <w:u w:val="none"/>
        </w:rPr>
        <w:t>ACT: Energy Innovation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ACT's primary grant channel for early-stage energy innovation, particularly valuable for startups seeking a smaller pilot-scale test market before national rollout. The quarterly rolling assessment means no fixed deadline pressure.</w:t>
      </w:r>
    </w:p>
    <w:p>
      <w:pPr>
        <w:spacing w:before="200" w:after="40"/>
      </w:pPr>
      <w:r>
        <w:rPr>
          <w:rFonts w:ascii="Calibri" w:hAnsi="Calibri"/>
          <w:b/>
          <w:i w:val="0"/>
          <w:color w:val="2C2C2C"/>
          <w:sz w:val="23"/>
          <w:u w:val="none"/>
        </w:rPr>
        <w:t>NSW: I2N Cleantech Accelerator — University of Newcastle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sector-specific cleantech accelerators outside Sydney and Melbourne, with genuine depth in clean energy and recycling commercialisation. TRaCE funding gives it stronger resource backing than typical university accelerators.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Applications typically open April, with an info session in May and programme starting August. Monitor hunternewenergy.com.au for next cohort announcements.</w:t>
      </w:r>
    </w:p>
    <w:p>
      <w:pPr>
        <w:spacing w:before="200" w:after="40"/>
      </w:pPr>
      <w:r>
        <w:rPr>
          <w:rFonts w:ascii="Calibri" w:hAnsi="Calibri"/>
          <w:b/>
          <w:i w:val="0"/>
          <w:color w:val="2C2C2C"/>
          <w:sz w:val="23"/>
          <w:u w:val="none"/>
        </w:rPr>
        <w:t>NSW Net Zero Manufacturing Initiative (NZMI)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substantial manufacturing-focused cleantech grant program in NSW. CTI's commercialisation stream ($250K–$5M) is directly relevant to startups with validated technology seeking production scale-up capital.</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Register interest at energy.nsw.gov.au/NZMI for Round 2 notification. Round 2 construction-ready streams expected to carry larger pools than Round 1.</w:t>
      </w:r>
    </w:p>
    <w:p>
      <w:pPr>
        <w:spacing w:before="200" w:after="40"/>
      </w:pPr>
      <w:r>
        <w:rPr>
          <w:rFonts w:ascii="Calibri" w:hAnsi="Calibri"/>
          <w:b/>
          <w:i w:val="0"/>
          <w:color w:val="2C2C2C"/>
          <w:sz w:val="23"/>
          <w:u w:val="none"/>
        </w:rPr>
        <w:t>NSW: UNSW Climate 10x Accelerator (TRaCE Trailblazer)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Federal Trailblazer funding means this program has significant resources for participants compared to standard accelerators. Clean energy and recycling sectors particularly well served.</w:t>
      </w:r>
    </w:p>
    <w:p>
      <w:pPr>
        <w:spacing w:before="200" w:after="40"/>
      </w:pPr>
      <w:r>
        <w:rPr>
          <w:rFonts w:ascii="Calibri" w:hAnsi="Calibri"/>
          <w:b/>
          <w:i w:val="0"/>
          <w:color w:val="2C2C2C"/>
          <w:sz w:val="23"/>
          <w:u w:val="none"/>
        </w:rPr>
        <w:t>QLD: Advance Queensland — Ignite Ideas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non-dilutive commercialisation grant for Queensland startups. Monitor advance.qld.gov.au for Round 13 opening dates.</w:t>
      </w:r>
    </w:p>
    <w:p>
      <w:pPr>
        <w:spacing w:before="200" w:after="40"/>
      </w:pPr>
      <w:r>
        <w:rPr>
          <w:rFonts w:ascii="Calibri" w:hAnsi="Calibri"/>
          <w:b/>
          <w:i w:val="0"/>
          <w:color w:val="2C2C2C"/>
          <w:sz w:val="23"/>
          <w:u w:val="none"/>
        </w:rPr>
        <w:t>SA: Green Industries SA — Circular Economy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SA's primary cleantech/circular economy grant channel. Businesses in materials, waste-to-energy, and recycling sectors should register their interest with GISA directly.</w:t>
      </w:r>
    </w:p>
    <w:p>
      <w:pPr>
        <w:spacing w:before="200" w:after="40"/>
      </w:pPr>
      <w:r>
        <w:rPr>
          <w:rFonts w:ascii="Calibri" w:hAnsi="Calibri"/>
          <w:b/>
          <w:i w:val="0"/>
          <w:color w:val="2C2C2C"/>
          <w:sz w:val="23"/>
          <w:u w:val="none"/>
        </w:rPr>
        <w:t>TAS: ReCFIT Climate Change Business Innovation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Tasmania's primary cleantech SME grant. Relatively small pool — early applications are advantaged. Monitor recfit.tas.gov.au for the 2026 round.</w:t>
      </w:r>
    </w:p>
    <w:p>
      <w:pPr>
        <w:spacing w:before="200" w:after="40"/>
      </w:pPr>
      <w:r>
        <w:rPr>
          <w:rFonts w:ascii="Calibri" w:hAnsi="Calibri"/>
          <w:b/>
          <w:i w:val="0"/>
          <w:color w:val="2C2C2C"/>
          <w:sz w:val="23"/>
          <w:u w:val="none"/>
        </w:rPr>
        <w:t>VIC: Breakthrough Victoria — Clean Economy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Victorian cleantech founders should prioritise Virescent Ventures and Boson Ventures as their first equity contacts — BV's co-investment mandate increases deal size and credibility.</w:t>
      </w:r>
    </w:p>
    <w:p>
      <w:pPr>
        <w:spacing w:before="200" w:after="40"/>
      </w:pPr>
      <w:r>
        <w:rPr>
          <w:rFonts w:ascii="Calibri" w:hAnsi="Calibri"/>
          <w:b/>
          <w:i w:val="0"/>
          <w:color w:val="2C2C2C"/>
          <w:sz w:val="23"/>
          <w:u w:val="none"/>
        </w:rPr>
        <w:t>VIC: Circular Economy Recycling Modernisation Fund — Round 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Sustainability Victoria's Round 6 opens $6 million for capital investment in recycling infrastructure, remanufacturing, and resource recovery. For-profit applicants must co-contribute $2 for every $1 of SV funding; local government and not-for-profits match 1:1. Applications submitted via SmartyGrants. Note: Sustainability Victoria is scheduled to be abolished in 2026 following the Silver Review — this may be one of its final grant rounds.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 critical window for Victorian cleantech businesses in the circular economy space, especially given SV's likely abolition. The 1:2 co-contribution requirement means applicants need substantial internal capital or co-investors lined up before applying.</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With SV's abolition flagged for 2026, monitor the Victorian Government for announcements on which agency will absorb the circular economy grant function post-SV.</w:t>
      </w:r>
    </w:p>
    <w:p>
      <w:pPr>
        <w:spacing w:before="200" w:after="40"/>
      </w:pPr>
      <w:r>
        <w:rPr>
          <w:rFonts w:ascii="Calibri" w:hAnsi="Calibri"/>
          <w:b/>
          <w:i w:val="0"/>
          <w:color w:val="2C2C2C"/>
          <w:sz w:val="23"/>
          <w:u w:val="none"/>
        </w:rPr>
        <w:t>WA: Founders Factory Nature Tech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Western Australia's most direct pathway for early-stage environmental-tech founders. The $7.2M multi-year commitment signals ongoing cohort delivery — monitor foundersfactory.com for next intake.</w:t>
      </w:r>
    </w:p>
    <w:p>
      <w:pPr>
        <w:spacing w:before="320" w:after="0"/>
      </w:pPr>
    </w:p>
    <w:p>
      <w:pPr>
        <w:spacing w:before="40" w:after="40"/>
        <w:pBdr>
          <w:bottom w:val="single" w:sz="6" w:space="1" w:color="AAAAAA"/>
        </w:pBdr>
      </w:pPr>
    </w:p>
    <w:p>
      <w:pPr>
        <w:spacing w:before="80" w:after="0"/>
      </w:pPr>
      <w:r>
        <w:rPr>
          <w:rFonts w:ascii="Calibri" w:hAnsi="Calibri"/>
          <w:b w:val="0"/>
          <w:i/>
          <w:color w:val="555555"/>
          <w:sz w:val="18"/>
          <w:u w:val="none"/>
        </w:rPr>
        <w:t>© GG Advisory  |  gg-advisory.org  |  Monthly digest — for strategic informational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mc.gov.au/news-centre/media-releases/aemc-updates-market-price-cap-2026-27" TargetMode="External"/><Relationship Id="rId10" Type="http://schemas.openxmlformats.org/officeDocument/2006/relationships/hyperlink" Target="https://www.aemc.gov.au/news-centre/media-releases/aemc-proposes-clearer-rules-manage-gas-supply-risks-during-australias-energy-transition" TargetMode="External"/><Relationship Id="rId11" Type="http://schemas.openxmlformats.org/officeDocument/2006/relationships/hyperlink" Target="https://www.efrag.org/en/news-and-calendar/news/efrag-adds-dutch-and-irish-to-vsme-digital-template-launches-data-migration-tool" TargetMode="External"/><Relationship Id="rId12" Type="http://schemas.openxmlformats.org/officeDocument/2006/relationships/hyperlink" Target="https://www.efrag.org/en/news-and-calendar/news/help-shape-europes-voice-on-business-conduct-reporting-join-efrags-workshops" TargetMode="External"/><Relationship Id="rId13" Type="http://schemas.openxmlformats.org/officeDocument/2006/relationships/hyperlink" Target="https://news.google.com/rss/articles/CBMiqAFBVV95cUxONDZXVGl1c01tZGZDQmlBVmh2Z3FXeGVwdVk4X1ZCenpPLW96ZHhhNUVFUHg0YUVjRnA0NUw1NXJrOG00WW9qNFo2R1lXZEtNR3J4MWlLNDE2cEpINkhuUzRySjN1RS11WDBKWXZQYzh2SjV4YlMwcnlfd29FUEdyWGpHMHBneGJ4ZlV6U29OczQ5Ukg4MEdiV2dOdUNXWXpPRllUUlJIM3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