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0D2D4A"/>
          <w:sz w:val="44"/>
          <w:u w:val="none"/>
        </w:rPr>
        <w:t>ARK Capture Solutions</w:t>
      </w:r>
    </w:p>
    <w:p>
      <w:pPr>
        <w:spacing w:before="0" w:after="40"/>
      </w:pPr>
      <w:r>
        <w:rPr>
          <w:rFonts w:ascii="Calibri" w:hAnsi="Calibri"/>
          <w:b w:val="0"/>
          <w:i/>
          <w:color w:val="1B7A6B"/>
          <w:sz w:val="22"/>
          <w:u w:val="none"/>
        </w:rPr>
        <w:t>Monthly Intelligence Brief — Australia &amp; APAC</w:t>
      </w:r>
    </w:p>
    <w:p>
      <w:pPr>
        <w:spacing w:before="0" w:after="120"/>
      </w:pPr>
      <w:r>
        <w:rPr>
          <w:rFonts w:ascii="Calibri" w:hAnsi="Calibri"/>
          <w:b w:val="0"/>
          <w:i w:val="0"/>
          <w:color w:val="555555"/>
          <w:sz w:val="18"/>
          <w:u w:val="none"/>
        </w:rPr>
        <w:t>Prepared by GG Advisory  |  March 2026  |  Confidential</w:t>
      </w:r>
    </w:p>
    <w:p>
      <w:pPr>
        <w:spacing w:before="20" w:after="20"/>
        <w:pBdr>
          <w:bottom w:val="single" w:sz="20" w:space="1" w:color="1B7A6B"/>
        </w:pBdr>
      </w:pPr>
    </w:p>
    <w:p>
      <w:pPr>
        <w:spacing w:before="160" w:after="40"/>
        <w:jc w:val="center"/>
      </w:pPr>
      <w:r>
        <w:rPr>
          <w:rFonts w:ascii="Calibri" w:hAnsi="Calibri"/>
          <w:b/>
          <w:i w:val="0"/>
          <w:color w:val="0D2D4A"/>
          <w:sz w:val="32"/>
          <w:u w:val="none"/>
        </w:rPr>
        <w:t>ARK Intelligence Brief — March 2026</w:t>
      </w:r>
    </w:p>
    <w:p>
      <w:pPr>
        <w:spacing w:before="20" w:after="20"/>
        <w:pBdr>
          <w:bottom w:val="single" w:sz="8" w:space="1" w:color="1B7A6B"/>
        </w:pBdr>
      </w:pPr>
    </w:p>
    <w:p>
      <w:pPr>
        <w:spacing w:before="200" w:after="80"/>
        <w:ind w:left="216"/>
        <w:pBdr>
          <w:left w:val="single" w:sz="18" w:space="6" w:color="1B7A6B"/>
        </w:pBdr>
      </w:pPr>
      <w:r>
        <w:rPr>
          <w:rFonts w:ascii="Calibri" w:hAnsi="Calibri"/>
          <w:b/>
          <w:i w:val="0"/>
          <w:color w:val="0D2D4A"/>
          <w:sz w:val="26"/>
          <w:u w:val="none"/>
        </w:rPr>
        <w:t>Executive Summary</w:t>
      </w:r>
    </w:p>
    <w:p>
      <w:pPr>
        <w:spacing w:before="40" w:after="80"/>
        <w:jc w:val="left"/>
      </w:pPr>
      <w:r>
        <w:rPr>
          <w:rFonts w:ascii="Calibri" w:hAnsi="Calibri"/>
          <w:b w:val="0"/>
          <w:i w:val="0"/>
          <w:color w:val="2C2C2C"/>
          <w:sz w:val="20"/>
          <w:u w:val="none"/>
        </w:rPr>
        <w:t>ARK Capture Solutions (Belgium) has developed a fully-electric, post-combustion carbon capture system targeting low-concentration flue gas from industrial sources including waste-to-energy, cement, biomass co-generation, and gas-fired plants. ARK states the technology operates without chemical solvents, with modular design and autonomous operation, and claims approximately 50% lower capture costs versus conventional amine scrubbing at low CO₂ concentrations (company-stated; no independent peer-reviewed validation published to date).</w:t>
      </w:r>
    </w:p>
    <w:p>
      <w:pPr>
        <w:spacing w:before="40" w:after="80"/>
        <w:jc w:val="left"/>
      </w:pPr>
      <w:r>
        <w:rPr>
          <w:rFonts w:ascii="Calibri" w:hAnsi="Calibri"/>
          <w:b w:val="0"/>
          <w:i w:val="0"/>
          <w:color w:val="2C2C2C"/>
          <w:sz w:val="20"/>
          <w:u w:val="none"/>
        </w:rPr>
        <w:t>A 50 t/year pilot plant recently commenced operation in Belgium under the €5.6M CO₂ Disrupt Project (partners: Aperam, Industeel, Cinergie). ARK's strategic entry into Australia is supported by GG Advisory and targets the country's growing industrial decarbonisation mandate, active grant programmes, and a small number of high-fit early adopters in Western Australia and New South Wales.</w:t>
      </w:r>
    </w:p>
    <w:p>
      <w:pPr>
        <w:spacing w:before="120" w:after="40"/>
        <w:jc w:val="left"/>
      </w:pPr>
      <w:r>
        <w:rPr>
          <w:rFonts w:ascii="Calibri" w:hAnsi="Calibri"/>
          <w:b/>
          <w:i w:val="0"/>
          <w:color w:val="1B7A6B"/>
          <w:sz w:val="21"/>
          <w:u w:val="none"/>
        </w:rPr>
        <w:t>Key Developments This Month</w:t>
      </w:r>
    </w:p>
    <w:p>
      <w:pPr>
        <w:pStyle w:val="ListBullet"/>
        <w:spacing w:before="40" w:after="40"/>
      </w:pPr>
      <w:r>
        <w:rPr>
          <w:rFonts w:ascii="Calibri" w:hAnsi="Calibri"/>
          <w:b w:val="0"/>
          <w:i w:val="0"/>
          <w:color w:val="2C2C2C"/>
          <w:sz w:val="20"/>
          <w:u w:val="none"/>
        </w:rPr>
        <w:t>Intelligence brief for ARK Capture Solutions covering AU/APAC carbon capture opportunities.</w:t>
      </w:r>
    </w:p>
    <w:p>
      <w:pPr>
        <w:pStyle w:val="ListBullet"/>
        <w:spacing w:before="40" w:after="40"/>
      </w:pPr>
      <w:r>
        <w:rPr>
          <w:rFonts w:ascii="Calibri" w:hAnsi="Calibri"/>
          <w:b w:val="0"/>
          <w:i w:val="0"/>
          <w:color w:val="2C2C2C"/>
          <w:sz w:val="20"/>
          <w:u w:val="none"/>
        </w:rPr>
        <w:t>Sections: Grants &amp; Funding · Market &amp; Policy · Competitors · Partners &amp; Buyers.</w:t>
      </w:r>
    </w:p>
    <w:p>
      <w:pPr>
        <w:pStyle w:val="ListBullet"/>
        <w:spacing w:before="40" w:after="40"/>
      </w:pPr>
      <w:r>
        <w:rPr>
          <w:rFonts w:ascii="Calibri" w:hAnsi="Calibri"/>
          <w:b w:val="0"/>
          <w:i w:val="0"/>
          <w:color w:val="2C2C2C"/>
          <w:sz w:val="20"/>
          <w:u w:val="none"/>
        </w:rPr>
        <w:t>Limited high-signal items available this period; see section details below.</w:t>
      </w:r>
    </w:p>
    <w:p>
      <w:pPr>
        <w:spacing w:before="20" w:after="20"/>
        <w:pBdr>
          <w:bottom w:val="single" w:sz="6" w:space="1" w:color="1B7A6B"/>
        </w:pBdr>
      </w:pPr>
    </w:p>
    <w:p>
      <w:pPr>
        <w:spacing w:before="320" w:after="0"/>
        <w:jc w:val="left"/>
      </w:pPr>
    </w:p>
    <w:p>
      <w:pPr>
        <w:spacing w:before="0" w:after="80"/>
      </w:pPr>
      <w:r>
        <w:rPr>
          <w:rFonts w:ascii="Calibri" w:hAnsi="Calibri"/>
          <w:b/>
          <w:i w:val="0"/>
          <w:color w:val="0D2D4A"/>
          <w:sz w:val="24"/>
          <w:u w:val="none"/>
        </w:rPr>
        <w:t>GRANTS &amp; FUNDING</w:t>
      </w:r>
    </w:p>
    <w:p>
      <w:pPr>
        <w:spacing w:before="20" w:after="20"/>
        <w:pBdr>
          <w:bottom w:val="single" w:sz="10" w:space="1" w:color="0D2D4A"/>
        </w:pBdr>
      </w:pPr>
    </w:p>
    <w:p>
      <w:pPr>
        <w:spacing w:before="200" w:after="80"/>
        <w:ind w:left="216"/>
        <w:pBdr>
          <w:left w:val="single" w:sz="18" w:space="6" w:color="1B7A6B"/>
        </w:pBdr>
      </w:pPr>
      <w:r>
        <w:rPr>
          <w:rFonts w:ascii="Calibri" w:hAnsi="Calibri"/>
          <w:b/>
          <w:i w:val="0"/>
          <w:color w:val="1B7A6B"/>
          <w:sz w:val="21"/>
          <w:u w:val="none"/>
        </w:rPr>
        <w:t>Market Background</w:t>
      </w:r>
    </w:p>
    <w:p>
      <w:pPr>
        <w:spacing w:before="160" w:after="40"/>
        <w:jc w:val="left"/>
      </w:pPr>
      <w:r>
        <w:rPr>
          <w:rFonts w:ascii="Calibri" w:hAnsi="Calibri"/>
          <w:b/>
          <w:i w:val="0"/>
          <w:color w:val="2C2C2C"/>
          <w:sz w:val="21"/>
          <w:u w:val="none"/>
        </w:rPr>
        <w:t>Carbon Capture Technologies Programme (CCTP) — Round 2</w:t>
      </w:r>
      <w:r>
        <w:t xml:space="preserve">  </w:t>
      </w:r>
      <w:r>
        <w:rPr>
          <w:rFonts w:ascii="Calibri" w:hAnsi="Calibri"/>
          <w:b/>
          <w:sz w:val="16"/>
          <w:shd w:val="clear" w:color="auto" w:fill="C0392B"/>
          <w:color w:val="FFFFFF"/>
        </w:rPr>
        <w:t xml:space="preserve">  TIME-CRITICAL  </w:t>
      </w:r>
    </w:p>
    <w:p>
      <w:pPr>
        <w:pStyle w:val="ListBullet"/>
        <w:spacing w:before="20" w:after="20"/>
        <w:ind w:left="360"/>
      </w:pPr>
      <w:r>
        <w:rPr>
          <w:rFonts w:ascii="Calibri" w:hAnsi="Calibri"/>
          <w:b w:val="0"/>
          <w:i w:val="0"/>
          <w:color w:val="2C2C2C"/>
          <w:sz w:val="20"/>
          <w:u w:val="none"/>
        </w:rPr>
        <w:t>Administered by DCCEEW / business.gov.au; open now, closes 5:00 pm AEST Wednesday 6 May 2026</w:t>
      </w:r>
    </w:p>
    <w:p>
      <w:pPr>
        <w:pStyle w:val="ListBullet"/>
        <w:spacing w:before="20" w:after="20"/>
        <w:ind w:left="360"/>
      </w:pPr>
      <w:r>
        <w:rPr>
          <w:rFonts w:ascii="Calibri" w:hAnsi="Calibri"/>
          <w:b w:val="0"/>
          <w:i w:val="0"/>
          <w:color w:val="2C2C2C"/>
          <w:sz w:val="20"/>
          <w:u w:val="none"/>
        </w:rPr>
        <w:t>Total pool: AUD $32.6 million; grants from AUD $1M to AUD $10M per project; minimum eligible project expenditure AUD $2M</w:t>
      </w:r>
    </w:p>
    <w:p>
      <w:pPr>
        <w:pStyle w:val="ListBullet"/>
        <w:spacing w:before="20" w:after="20"/>
        <w:ind w:left="360"/>
      </w:pPr>
      <w:r>
        <w:rPr>
          <w:rFonts w:ascii="Calibri" w:hAnsi="Calibri"/>
          <w:b w:val="0"/>
          <w:i w:val="0"/>
          <w:color w:val="2C2C2C"/>
          <w:sz w:val="20"/>
          <w:u w:val="none"/>
        </w:rPr>
        <w:t>Two-stage process: Expression of Interest (Stage 1) → invited full application (Stage 2)</w:t>
      </w:r>
    </w:p>
    <w:p>
      <w:pPr>
        <w:pStyle w:val="ListBullet"/>
        <w:spacing w:before="20" w:after="20"/>
        <w:ind w:left="360"/>
      </w:pPr>
      <w:r>
        <w:rPr>
          <w:rFonts w:ascii="Calibri" w:hAnsi="Calibri"/>
          <w:b w:val="0"/>
          <w:i w:val="0"/>
          <w:color w:val="2C2C2C"/>
          <w:sz w:val="20"/>
          <w:u w:val="none"/>
        </w:rPr>
        <w:t>Eligible lead applicants: any entity incorporated in Australia with an ABN; foreign technology providers such as ARK must partner with an eligible Australian lead</w:t>
      </w:r>
    </w:p>
    <w:p>
      <w:pPr>
        <w:pStyle w:val="ListBullet"/>
        <w:spacing w:before="20" w:after="20"/>
        <w:ind w:left="360"/>
      </w:pPr>
      <w:r>
        <w:rPr>
          <w:rFonts w:ascii="Calibri" w:hAnsi="Calibri"/>
          <w:b w:val="0"/>
          <w:i w:val="0"/>
          <w:color w:val="2C2C2C"/>
          <w:sz w:val="20"/>
          <w:u w:val="none"/>
        </w:rPr>
        <w:t>Partnering with CSIRO Energy is the recommended pathway — provides ABN eligibility, independent credibility and technology validation in a single step (GG Advisory recommendation; not a programme rule)</w:t>
      </w:r>
    </w:p>
    <w:p>
      <w:pPr>
        <w:pStyle w:val="ListBullet"/>
        <w:spacing w:before="20" w:after="20"/>
        <w:ind w:left="360"/>
      </w:pPr>
      <w:r>
        <w:rPr>
          <w:rFonts w:ascii="Calibri" w:hAnsi="Calibri"/>
          <w:b w:val="0"/>
          <w:i w:val="0"/>
          <w:color w:val="2C2C2C"/>
          <w:sz w:val="20"/>
          <w:u w:val="none"/>
        </w:rPr>
        <w:t>Projects must be located in Australia, complete by 31 March 2031, and must not consist solely of a feasibility or engineering study; prior Round 1 recipients are ineligible</w:t>
      </w:r>
    </w:p>
    <w:p>
      <w:pPr>
        <w:pStyle w:val="ListBullet"/>
        <w:spacing w:before="20" w:after="20"/>
        <w:ind w:left="360"/>
      </w:pPr>
      <w:r>
        <w:rPr>
          <w:rFonts w:ascii="Calibri" w:hAnsi="Calibri"/>
          <w:b w:val="0"/>
          <w:i w:val="0"/>
          <w:color w:val="2C2C2C"/>
          <w:sz w:val="20"/>
          <w:u w:val="none"/>
        </w:rPr>
        <w:t>Strategic fit for ARK: HIGH — programme explicitly targets novel and emerging carbon management technologies for hard-to-abate industrial emitters</w:t>
      </w:r>
    </w:p>
    <w:p>
      <w:pPr>
        <w:spacing w:before="160" w:after="40"/>
        <w:jc w:val="left"/>
      </w:pPr>
      <w:r>
        <w:rPr>
          <w:rFonts w:ascii="Calibri" w:hAnsi="Calibri"/>
          <w:b/>
          <w:i w:val="0"/>
          <w:color w:val="2C2C2C"/>
          <w:sz w:val="21"/>
          <w:u w:val="none"/>
        </w:rPr>
        <w:t>ARENA — Industrial Transformation Stream (ITS) Round 3</w:t>
      </w:r>
      <w:r>
        <w:t xml:space="preserve">  </w:t>
      </w:r>
      <w:r>
        <w:rPr>
          <w:rFonts w:ascii="Calibri" w:hAnsi="Calibri"/>
          <w:b/>
          <w:sz w:val="16"/>
          <w:shd w:val="clear" w:color="auto" w:fill="1B7A6B"/>
          <w:color w:val="FFFFFF"/>
        </w:rPr>
        <w:t xml:space="preserve">  OPEN | ROLLING  </w:t>
      </w:r>
    </w:p>
    <w:p>
      <w:pPr>
        <w:pStyle w:val="ListBullet"/>
        <w:spacing w:before="20" w:after="20"/>
        <w:ind w:left="360"/>
      </w:pPr>
      <w:r>
        <w:rPr>
          <w:rFonts w:ascii="Calibri" w:hAnsi="Calibri"/>
          <w:b w:val="0"/>
          <w:i w:val="0"/>
          <w:color w:val="2C2C2C"/>
          <w:sz w:val="20"/>
          <w:u w:val="none"/>
        </w:rPr>
        <w:t>Open and ongoing since September 2025; AUD $180M available; no hard deadline — applications assessed on rolling basis</w:t>
      </w:r>
    </w:p>
    <w:p>
      <w:pPr>
        <w:pStyle w:val="ListBullet"/>
        <w:spacing w:before="20" w:after="20"/>
        <w:ind w:left="360"/>
      </w:pPr>
      <w:r>
        <w:rPr>
          <w:rFonts w:ascii="Calibri" w:hAnsi="Calibri"/>
          <w:b w:val="0"/>
          <w:i w:val="0"/>
          <w:color w:val="2C2C2C"/>
          <w:sz w:val="20"/>
          <w:u w:val="none"/>
        </w:rPr>
        <w:t>Supports feasibility studies, FEED, trials, demonstrations and full deployment for industrial decarbonisation</w:t>
      </w:r>
    </w:p>
    <w:p>
      <w:pPr>
        <w:pStyle w:val="ListBullet"/>
        <w:spacing w:before="20" w:after="20"/>
        <w:ind w:left="360"/>
      </w:pPr>
      <w:r>
        <w:rPr>
          <w:rFonts w:ascii="Calibri" w:hAnsi="Calibri"/>
          <w:b w:val="0"/>
          <w:i w:val="0"/>
          <w:color w:val="2C2C2C"/>
          <w:sz w:val="20"/>
          <w:u w:val="none"/>
        </w:rPr>
        <w:t>Complementary to CCTP: can fund project-development stages before or alongside a CCTP grant</w:t>
      </w:r>
    </w:p>
    <w:p>
      <w:pPr>
        <w:spacing w:before="160" w:after="40"/>
        <w:jc w:val="left"/>
      </w:pPr>
      <w:r>
        <w:rPr>
          <w:rFonts w:ascii="Calibri" w:hAnsi="Calibri"/>
          <w:b/>
          <w:i w:val="0"/>
          <w:color w:val="2C2C2C"/>
          <w:sz w:val="21"/>
          <w:u w:val="none"/>
        </w:rPr>
        <w:t>Emissions Reduction Fund / ACCU Scheme</w:t>
      </w:r>
      <w:r>
        <w:t xml:space="preserve">  </w:t>
      </w:r>
      <w:r>
        <w:rPr>
          <w:rFonts w:ascii="Calibri" w:hAnsi="Calibri"/>
          <w:b/>
          <w:sz w:val="16"/>
          <w:shd w:val="clear" w:color="auto" w:fill="0D2D4A"/>
          <w:color w:val="FFFFFF"/>
        </w:rPr>
        <w:t xml:space="preserve">  REVENUE MECHANISM  </w:t>
      </w:r>
    </w:p>
    <w:p>
      <w:pPr>
        <w:pStyle w:val="ListBullet"/>
        <w:spacing w:before="20" w:after="20"/>
        <w:ind w:left="360"/>
      </w:pPr>
      <w:r>
        <w:rPr>
          <w:rFonts w:ascii="Calibri" w:hAnsi="Calibri"/>
          <w:b w:val="0"/>
          <w:i w:val="0"/>
          <w:color w:val="2C2C2C"/>
          <w:sz w:val="20"/>
          <w:u w:val="none"/>
        </w:rPr>
        <w:t>Verified carbon abatement from eligible CCS projects can generate Australian Carbon Credit Units (ACCUs)</w:t>
      </w:r>
    </w:p>
    <w:p>
      <w:pPr>
        <w:pStyle w:val="ListBullet"/>
        <w:spacing w:before="20" w:after="20"/>
        <w:ind w:left="360"/>
      </w:pPr>
      <w:r>
        <w:rPr>
          <w:rFonts w:ascii="Calibri" w:hAnsi="Calibri"/>
          <w:b w:val="0"/>
          <w:i w:val="0"/>
          <w:color w:val="2C2C2C"/>
          <w:sz w:val="20"/>
          <w:u w:val="none"/>
        </w:rPr>
        <w:t>Spot price Q1 2026: approximately AUD $30–42/t (elevated ahead of March Safeguard compliance deadline); live prices paywalled</w:t>
      </w:r>
    </w:p>
    <w:p>
      <w:pPr>
        <w:pStyle w:val="ListBullet"/>
        <w:spacing w:before="20" w:after="20"/>
        <w:ind w:left="360"/>
      </w:pPr>
      <w:r>
        <w:rPr>
          <w:rFonts w:ascii="Calibri" w:hAnsi="Calibri"/>
          <w:b w:val="0"/>
          <w:i w:val="0"/>
          <w:color w:val="2C2C2C"/>
          <w:sz w:val="20"/>
          <w:u w:val="none"/>
        </w:rPr>
        <w:t>Long-term outlook: flat at AUD $30–35/t to at least 2028, projected to rise toward AUD $70/t by 2035 (EY Net Zero Centre, January 2026)</w:t>
      </w:r>
    </w:p>
    <w:p>
      <w:pPr>
        <w:pStyle w:val="ListBullet"/>
        <w:spacing w:before="20" w:after="20"/>
        <w:ind w:left="360"/>
      </w:pPr>
      <w:r>
        <w:rPr>
          <w:rFonts w:ascii="Calibri" w:hAnsi="Calibri"/>
          <w:b w:val="0"/>
          <w:i w:val="0"/>
          <w:color w:val="2C2C2C"/>
          <w:sz w:val="20"/>
          <w:u w:val="none"/>
        </w:rPr>
        <w:t>ACCU revenue is conditional on project structure, CER method compliance and grant funding arrangements — treat as potential upside only</w:t>
      </w:r>
    </w:p>
    <w:p>
      <w:pPr>
        <w:spacing w:before="160" w:after="40"/>
        <w:jc w:val="left"/>
      </w:pPr>
      <w:r>
        <w:rPr>
          <w:rFonts w:ascii="Calibri" w:hAnsi="Calibri"/>
          <w:b/>
          <w:i w:val="0"/>
          <w:color w:val="2C2C2C"/>
          <w:sz w:val="21"/>
          <w:u w:val="none"/>
        </w:rPr>
        <w:t>Clean Energy Finance Corporation (CEFC)</w:t>
      </w:r>
      <w:r>
        <w:t xml:space="preserve">  </w:t>
      </w:r>
      <w:r>
        <w:rPr>
          <w:rFonts w:ascii="Calibri" w:hAnsi="Calibri"/>
          <w:b/>
          <w:sz w:val="16"/>
          <w:shd w:val="clear" w:color="auto" w:fill="0D2D4A"/>
          <w:color w:val="FFFFFF"/>
        </w:rPr>
        <w:t xml:space="preserve">  CO-INVESTMENT  </w:t>
      </w:r>
    </w:p>
    <w:p>
      <w:pPr>
        <w:pStyle w:val="ListBullet"/>
        <w:spacing w:before="20" w:after="20"/>
        <w:ind w:left="360"/>
      </w:pPr>
      <w:r>
        <w:rPr>
          <w:rFonts w:ascii="Calibri" w:hAnsi="Calibri"/>
          <w:b w:val="0"/>
          <w:i w:val="0"/>
          <w:color w:val="2C2C2C"/>
          <w:sz w:val="20"/>
          <w:u w:val="none"/>
        </w:rPr>
        <w:t>Provides debt and equity co-investment for clean energy projects; relevant at construction/deployment stage</w:t>
      </w:r>
    </w:p>
    <w:p>
      <w:pPr>
        <w:pStyle w:val="ListBullet"/>
        <w:spacing w:before="20" w:after="20"/>
        <w:ind w:left="360"/>
      </w:pPr>
      <w:r>
        <w:rPr>
          <w:rFonts w:ascii="Calibri" w:hAnsi="Calibri"/>
          <w:b w:val="0"/>
          <w:i w:val="0"/>
          <w:color w:val="2C2C2C"/>
          <w:sz w:val="20"/>
          <w:u w:val="none"/>
        </w:rPr>
        <w:t>Has co-invested alongside ARENA in industrial decarbonisation (e.g. AUD $57.5M subordinated debt into East Rockingham WtE)</w:t>
      </w:r>
    </w:p>
    <w:p>
      <w:pPr>
        <w:spacing w:before="160" w:after="40"/>
        <w:jc w:val="left"/>
      </w:pPr>
      <w:r>
        <w:rPr>
          <w:rFonts w:ascii="Calibri" w:hAnsi="Calibri"/>
          <w:b/>
          <w:i w:val="0"/>
          <w:color w:val="2C2C2C"/>
          <w:sz w:val="21"/>
          <w:u w:val="none"/>
        </w:rPr>
        <w:t>R&amp;D Tax Incentive</w:t>
      </w:r>
      <w:r>
        <w:t xml:space="preserve">  </w:t>
      </w:r>
      <w:r>
        <w:rPr>
          <w:rFonts w:ascii="Calibri" w:hAnsi="Calibri"/>
          <w:b/>
          <w:sz w:val="16"/>
          <w:shd w:val="clear" w:color="auto" w:fill="888888"/>
          <w:color w:val="FFFFFF"/>
        </w:rPr>
        <w:t xml:space="preserve">  TAX INCENTIVE  </w:t>
      </w:r>
    </w:p>
    <w:p>
      <w:pPr>
        <w:pStyle w:val="ListBullet"/>
        <w:spacing w:before="20" w:after="20"/>
        <w:ind w:left="360"/>
      </w:pPr>
      <w:r>
        <w:rPr>
          <w:rFonts w:ascii="Calibri" w:hAnsi="Calibri"/>
          <w:b w:val="0"/>
          <w:i w:val="0"/>
          <w:color w:val="2C2C2C"/>
          <w:sz w:val="20"/>
          <w:u w:val="none"/>
        </w:rPr>
        <w:t>Companies with aggregated turnover below AUD $20M: refundable offset at corporate tax rate + 18.5% premium (= 43.5% at the standard 25% rate); excess refunded as cash</w:t>
      </w:r>
    </w:p>
    <w:p>
      <w:pPr>
        <w:pStyle w:val="ListBullet"/>
        <w:spacing w:before="20" w:after="20"/>
        <w:ind w:left="360"/>
      </w:pPr>
      <w:r>
        <w:rPr>
          <w:rFonts w:ascii="Calibri" w:hAnsi="Calibri"/>
          <w:b w:val="0"/>
          <w:i w:val="0"/>
          <w:color w:val="2C2C2C"/>
          <w:sz w:val="20"/>
          <w:u w:val="none"/>
        </w:rPr>
        <w:t>Companies with aggregated turnover AUD $20M or above: non-refundable offset at corporate tax rate + 8.5% (0–2% R&amp;D intensity) or + 16.5% (above 2% R&amp;D intensity)</w:t>
      </w:r>
    </w:p>
    <w:p>
      <w:pPr>
        <w:pStyle w:val="ListBullet"/>
        <w:spacing w:before="20" w:after="20"/>
        <w:ind w:left="360"/>
      </w:pPr>
      <w:r>
        <w:rPr>
          <w:rFonts w:ascii="Calibri" w:hAnsi="Calibri"/>
          <w:b w:val="0"/>
          <w:i w:val="0"/>
          <w:color w:val="2C2C2C"/>
          <w:sz w:val="20"/>
          <w:u w:val="none"/>
        </w:rPr>
        <w:t>Relevant for ARK once an Australian entity is established; registration deadline within 10 months of income year end</w:t>
      </w:r>
    </w:p>
    <w:p>
      <w:pPr>
        <w:spacing w:before="200" w:after="80"/>
        <w:ind w:left="216"/>
        <w:pBdr>
          <w:left w:val="single" w:sz="18" w:space="6" w:color="1B7A6B"/>
        </w:pBdr>
      </w:pPr>
      <w:r>
        <w:rPr>
          <w:rFonts w:ascii="Calibri" w:hAnsi="Calibri"/>
          <w:b/>
          <w:i w:val="0"/>
          <w:color w:val="1B7A6B"/>
          <w:sz w:val="21"/>
          <w:u w:val="none"/>
        </w:rPr>
        <w:t>Updates This Month</w:t>
      </w:r>
    </w:p>
    <w:p>
      <w:pPr>
        <w:spacing w:before="80" w:after="80"/>
        <w:jc w:val="left"/>
      </w:pPr>
      <w:r>
        <w:rPr>
          <w:rFonts w:ascii="Calibri" w:hAnsi="Calibri"/>
          <w:b w:val="0"/>
          <w:i/>
          <w:color w:val="555555"/>
          <w:sz w:val="20"/>
          <w:u w:val="none"/>
        </w:rPr>
        <w:t>No new items identified this period.</w:t>
      </w:r>
    </w:p>
    <w:p>
      <w:pPr>
        <w:spacing w:before="200" w:after="80"/>
        <w:ind w:left="216"/>
        <w:pBdr>
          <w:left w:val="single" w:sz="18" w:space="6" w:color="1B7A6B"/>
        </w:pBdr>
      </w:pPr>
      <w:r>
        <w:rPr>
          <w:rFonts w:ascii="Calibri" w:hAnsi="Calibri"/>
          <w:b/>
          <w:i w:val="0"/>
          <w:color w:val="1B7A6B"/>
          <w:sz w:val="21"/>
          <w:u w:val="none"/>
        </w:rPr>
        <w:t>Changes Since Last Issue</w:t>
      </w:r>
    </w:p>
    <w:p>
      <w:pPr>
        <w:spacing w:before="80" w:after="80"/>
        <w:ind w:left="216" w:right="216"/>
        <w:shd w:val="clear" w:color="auto" w:fill="D6EDE9"/>
      </w:pPr>
      <w:r>
        <w:rPr>
          <w:rFonts w:ascii="Calibri" w:hAnsi="Calibri"/>
          <w:b w:val="0"/>
          <w:i/>
          <w:color w:val="2C2C2C"/>
          <w:sz w:val="20"/>
          <w:u w:val="none"/>
        </w:rPr>
        <w:t>— Inaugural issue. Changes section will be populated from the second issue onwards. —</w:t>
      </w:r>
    </w:p>
    <w:p>
      <w:pPr>
        <w:spacing w:before="20" w:after="20"/>
        <w:pBdr>
          <w:bottom w:val="single" w:sz="6" w:space="1" w:color="1B7A6B"/>
        </w:pBdr>
      </w:pPr>
    </w:p>
    <w:p>
      <w:pPr>
        <w:spacing w:before="320" w:after="0"/>
        <w:jc w:val="left"/>
      </w:pPr>
    </w:p>
    <w:p>
      <w:pPr>
        <w:spacing w:before="0" w:after="80"/>
      </w:pPr>
      <w:r>
        <w:rPr>
          <w:rFonts w:ascii="Calibri" w:hAnsi="Calibri"/>
          <w:b/>
          <w:i w:val="0"/>
          <w:color w:val="0D2D4A"/>
          <w:sz w:val="24"/>
          <w:u w:val="none"/>
        </w:rPr>
        <w:t>MARKET &amp; POLICY</w:t>
      </w:r>
    </w:p>
    <w:p>
      <w:pPr>
        <w:spacing w:before="20" w:after="20"/>
        <w:pBdr>
          <w:bottom w:val="single" w:sz="10" w:space="1" w:color="0D2D4A"/>
        </w:pBdr>
      </w:pPr>
    </w:p>
    <w:p>
      <w:pPr>
        <w:spacing w:before="200" w:after="80"/>
        <w:ind w:left="216"/>
        <w:pBdr>
          <w:left w:val="single" w:sz="18" w:space="6" w:color="1B7A6B"/>
        </w:pBdr>
      </w:pPr>
      <w:r>
        <w:rPr>
          <w:rFonts w:ascii="Calibri" w:hAnsi="Calibri"/>
          <w:b/>
          <w:i w:val="0"/>
          <w:color w:val="1B7A6B"/>
          <w:sz w:val="21"/>
          <w:u w:val="none"/>
        </w:rPr>
        <w:t>Market Background</w:t>
      </w:r>
    </w:p>
    <w:p>
      <w:pPr>
        <w:spacing w:before="160" w:after="40"/>
        <w:jc w:val="left"/>
      </w:pPr>
      <w:r>
        <w:rPr>
          <w:rFonts w:ascii="Calibri" w:hAnsi="Calibri"/>
          <w:b/>
          <w:i w:val="0"/>
          <w:color w:val="2C2C2C"/>
          <w:sz w:val="21"/>
          <w:u w:val="none"/>
        </w:rPr>
        <w:t>Regulatory Driver — Safeguard Mechanism</w:t>
      </w:r>
      <w:r>
        <w:t xml:space="preserve">  </w:t>
      </w:r>
      <w:r>
        <w:rPr>
          <w:rFonts w:ascii="Calibri" w:hAnsi="Calibri"/>
          <w:b/>
          <w:sz w:val="16"/>
          <w:shd w:val="clear" w:color="auto" w:fill="0D2D4A"/>
          <w:color w:val="FFFFFF"/>
        </w:rPr>
        <w:t xml:space="preserve">  REGULATORY DRIVER  </w:t>
      </w:r>
    </w:p>
    <w:p>
      <w:pPr>
        <w:pStyle w:val="ListBullet"/>
        <w:spacing w:before="20" w:after="20"/>
        <w:ind w:left="360"/>
      </w:pPr>
      <w:r>
        <w:rPr>
          <w:rFonts w:ascii="Calibri" w:hAnsi="Calibri"/>
          <w:b w:val="0"/>
          <w:i w:val="0"/>
          <w:color w:val="2C2C2C"/>
          <w:sz w:val="20"/>
          <w:u w:val="none"/>
        </w:rPr>
        <w:t>Applies to 219 facilities (confirmed 2023-24; 2024-25 final data due to CER by 15 April 2026, current estimate ~220) emitting more than 100,000 tCO₂e/year</w:t>
      </w:r>
    </w:p>
    <w:p>
      <w:pPr>
        <w:pStyle w:val="ListBullet"/>
        <w:spacing w:before="20" w:after="20"/>
        <w:ind w:left="360"/>
      </w:pPr>
      <w:r>
        <w:rPr>
          <w:rFonts w:ascii="Calibri" w:hAnsi="Calibri"/>
          <w:b w:val="0"/>
          <w:i w:val="0"/>
          <w:color w:val="2C2C2C"/>
          <w:sz w:val="20"/>
          <w:u w:val="none"/>
        </w:rPr>
        <w:t>Covers mining, manufacturing, domestic transport, oil, gas and waste sectors</w:t>
      </w:r>
    </w:p>
    <w:p>
      <w:pPr>
        <w:pStyle w:val="ListBullet"/>
        <w:spacing w:before="20" w:after="20"/>
        <w:ind w:left="360"/>
      </w:pPr>
      <w:r>
        <w:rPr>
          <w:rFonts w:ascii="Calibri" w:hAnsi="Calibri"/>
          <w:b w:val="0"/>
          <w:i w:val="0"/>
          <w:color w:val="2C2C2C"/>
          <w:sz w:val="20"/>
          <w:u w:val="none"/>
        </w:rPr>
        <w:t>Default baselines decline at 4.9% per year through to 30 June 2030; trade-exposed baseline-adjusted (TEBA) facilities may qualify for a reduced minimum decline rate of 1–2%</w:t>
      </w:r>
    </w:p>
    <w:p>
      <w:pPr>
        <w:pStyle w:val="ListBullet"/>
        <w:spacing w:before="20" w:after="20"/>
        <w:ind w:left="360"/>
      </w:pPr>
      <w:r>
        <w:rPr>
          <w:rFonts w:ascii="Calibri" w:hAnsi="Calibri"/>
          <w:b w:val="0"/>
          <w:i w:val="0"/>
          <w:color w:val="2C2C2C"/>
          <w:sz w:val="20"/>
          <w:u w:val="none"/>
        </w:rPr>
        <w:t>Facilities in excess must surrender ACCUs or Safeguard Mechanism Credits (SMCs) by 31 March each year</w:t>
      </w:r>
    </w:p>
    <w:p>
      <w:pPr>
        <w:pStyle w:val="ListBullet"/>
        <w:spacing w:before="20" w:after="20"/>
        <w:ind w:left="360"/>
      </w:pPr>
      <w:r>
        <w:rPr>
          <w:rFonts w:ascii="Calibri" w:hAnsi="Calibri"/>
          <w:b w:val="0"/>
          <w:i w:val="0"/>
          <w:color w:val="2C2C2C"/>
          <w:sz w:val="20"/>
          <w:u w:val="none"/>
        </w:rPr>
        <w:t>The scheme's aggregate trajectory requires that net emissions from all Safeguard facilities do not exceed 100 MtCO₂e in 2029-30</w:t>
      </w:r>
    </w:p>
    <w:p>
      <w:pPr>
        <w:pStyle w:val="ListBullet"/>
        <w:spacing w:before="20" w:after="20"/>
        <w:ind w:left="360"/>
      </w:pPr>
      <w:r>
        <w:rPr>
          <w:rFonts w:ascii="Calibri" w:hAnsi="Calibri"/>
          <w:b w:val="0"/>
          <w:i w:val="0"/>
          <w:color w:val="2C2C2C"/>
          <w:sz w:val="20"/>
          <w:u w:val="none"/>
        </w:rPr>
        <w:t>A mandatory government review of Safeguard policy settings is scheduled for 2026-27, covering post-2030 trajectory, ACCU/SMC limits, use of international offsets, and calibration to Australia's updated NDC — outcome could materially affect compliance costs and the value of on-site capture investments</w:t>
      </w:r>
    </w:p>
    <w:p>
      <w:pPr>
        <w:spacing w:before="160" w:after="40"/>
        <w:jc w:val="left"/>
      </w:pPr>
      <w:r>
        <w:rPr>
          <w:rFonts w:ascii="Calibri" w:hAnsi="Calibri"/>
          <w:b/>
          <w:i w:val="0"/>
          <w:color w:val="2C2C2C"/>
          <w:sz w:val="21"/>
          <w:u w:val="none"/>
        </w:rPr>
        <w:t>National Climate Targets</w:t>
      </w:r>
      <w:r>
        <w:t xml:space="preserve">  </w:t>
      </w:r>
      <w:r>
        <w:rPr>
          <w:rFonts w:ascii="Calibri" w:hAnsi="Calibri"/>
          <w:b/>
          <w:sz w:val="16"/>
          <w:shd w:val="clear" w:color="auto" w:fill="0D2D4A"/>
          <w:color w:val="FFFFFF"/>
        </w:rPr>
        <w:t xml:space="preserve">  POLICY  </w:t>
      </w:r>
    </w:p>
    <w:p>
      <w:pPr>
        <w:pStyle w:val="ListBullet"/>
        <w:spacing w:before="20" w:after="20"/>
        <w:ind w:left="360"/>
      </w:pPr>
      <w:r>
        <w:rPr>
          <w:rFonts w:ascii="Calibri" w:hAnsi="Calibri"/>
          <w:b w:val="0"/>
          <w:i w:val="0"/>
          <w:color w:val="2C2C2C"/>
          <w:sz w:val="20"/>
          <w:u w:val="none"/>
        </w:rPr>
        <w:t>Legislated 2030 target: 43% reduction below 2005 levels; net zero by 2050</w:t>
      </w:r>
    </w:p>
    <w:p>
      <w:pPr>
        <w:pStyle w:val="ListBullet"/>
        <w:spacing w:before="20" w:after="20"/>
        <w:ind w:left="360"/>
      </w:pPr>
      <w:r>
        <w:rPr>
          <w:rFonts w:ascii="Calibri" w:hAnsi="Calibri"/>
          <w:b w:val="0"/>
          <w:i w:val="0"/>
          <w:color w:val="2C2C2C"/>
          <w:sz w:val="20"/>
          <w:u w:val="none"/>
        </w:rPr>
        <w:t>Updated NDC submitted to the UN in September 2025: 62–70% below 2005 levels by 2035 — substantially increases pressure on hard-to-abate industrial sectors beyond 2030</w:t>
      </w:r>
    </w:p>
    <w:p>
      <w:pPr>
        <w:pStyle w:val="ListBullet"/>
        <w:spacing w:before="20" w:after="20"/>
        <w:ind w:left="360"/>
      </w:pPr>
      <w:r>
        <w:rPr>
          <w:rFonts w:ascii="Calibri" w:hAnsi="Calibri"/>
          <w:b w:val="0"/>
          <w:i w:val="0"/>
          <w:color w:val="2C2C2C"/>
          <w:sz w:val="20"/>
          <w:u w:val="none"/>
        </w:rPr>
        <w:t>Scale of CCS required: the 2023 Net Zero Australia study (cited in the government's Future Gas Strategy, May 2024) projects that Australia will need to achieve geological sequestration of approximately 150 Mtpa CO₂ by 2040 in most net-zero scenarios</w:t>
      </w:r>
    </w:p>
    <w:p>
      <w:pPr>
        <w:spacing w:before="160" w:after="40"/>
        <w:jc w:val="left"/>
      </w:pPr>
      <w:r>
        <w:rPr>
          <w:rFonts w:ascii="Calibri" w:hAnsi="Calibri"/>
          <w:b/>
          <w:i w:val="0"/>
          <w:color w:val="2C2C2C"/>
          <w:sz w:val="21"/>
          <w:u w:val="none"/>
        </w:rPr>
        <w:t>Electricity Prices — Relevance to ARK's Fully-Electric Model</w:t>
      </w:r>
      <w:r>
        <w:t xml:space="preserve">  </w:t>
      </w:r>
      <w:r>
        <w:rPr>
          <w:rFonts w:ascii="Calibri" w:hAnsi="Calibri"/>
          <w:b/>
          <w:sz w:val="16"/>
          <w:shd w:val="clear" w:color="auto" w:fill="1B7A6B"/>
          <w:color w:val="FFFFFF"/>
        </w:rPr>
        <w:t xml:space="preserve">  MARKET DRIVER  </w:t>
      </w:r>
    </w:p>
    <w:p>
      <w:pPr>
        <w:pStyle w:val="ListBullet"/>
        <w:spacing w:before="20" w:after="20"/>
        <w:ind w:left="360"/>
      </w:pPr>
      <w:r>
        <w:rPr>
          <w:rFonts w:ascii="Calibri" w:hAnsi="Calibri"/>
          <w:b w:val="0"/>
          <w:i w:val="0"/>
          <w:color w:val="2C2C2C"/>
          <w:sz w:val="20"/>
          <w:u w:val="none"/>
        </w:rPr>
        <w:t>NEM wholesale average fell to approximately AUD $50/MWh in Q4 2025 (down ~44% year-on-year), driven by record renewable penetration exceeding 50% of NEM demand for the first time</w:t>
      </w:r>
    </w:p>
    <w:p>
      <w:pPr>
        <w:pStyle w:val="ListBullet"/>
        <w:spacing w:before="20" w:after="20"/>
        <w:ind w:left="360"/>
      </w:pPr>
      <w:r>
        <w:rPr>
          <w:rFonts w:ascii="Calibri" w:hAnsi="Calibri"/>
          <w:b w:val="0"/>
          <w:i w:val="0"/>
          <w:color w:val="2C2C2C"/>
          <w:sz w:val="20"/>
          <w:u w:val="none"/>
        </w:rPr>
        <w:t>Negative and near-zero wholesale price periods are increasing in all mainland NEM regions: AEMO recorded negative prices in 48.4% of intervals in South Australia and 43.1% in Victoria in Q4 2025</w:t>
      </w:r>
    </w:p>
    <w:p>
      <w:pPr>
        <w:pStyle w:val="ListBullet"/>
        <w:spacing w:before="20" w:after="20"/>
        <w:ind w:left="360"/>
      </w:pPr>
      <w:r>
        <w:rPr>
          <w:rFonts w:ascii="Calibri" w:hAnsi="Calibri"/>
          <w:b w:val="0"/>
          <w:i w:val="0"/>
          <w:color w:val="2C2C2C"/>
          <w:sz w:val="20"/>
          <w:u w:val="none"/>
        </w:rPr>
        <w:t>ARK's flexible electric system can operate preferentially during low/negative-price periods; amine scrubbing cannot (requires continuous steam)</w:t>
      </w:r>
    </w:p>
    <w:p>
      <w:pPr>
        <w:pStyle w:val="ListBullet"/>
        <w:spacing w:before="20" w:after="20"/>
        <w:ind w:left="360"/>
      </w:pPr>
      <w:r>
        <w:rPr>
          <w:rFonts w:ascii="Calibri" w:hAnsi="Calibri"/>
          <w:b w:val="0"/>
          <w:i w:val="0"/>
          <w:color w:val="2C2C2C"/>
          <w:sz w:val="20"/>
          <w:u w:val="none"/>
        </w:rPr>
        <w:t>Delivered industrial electricity cost varies significantly by state and contract structure — site-specific energy modelling is required for any client proposal</w:t>
      </w:r>
    </w:p>
    <w:p>
      <w:pPr>
        <w:spacing w:before="160" w:after="40"/>
        <w:jc w:val="left"/>
      </w:pPr>
      <w:r>
        <w:rPr>
          <w:rFonts w:ascii="Calibri" w:hAnsi="Calibri"/>
          <w:b/>
          <w:i w:val="0"/>
          <w:color w:val="2C2C2C"/>
          <w:sz w:val="21"/>
          <w:u w:val="none"/>
        </w:rPr>
        <w:t>Key Emitting Sectors</w:t>
      </w:r>
      <w:r>
        <w:t xml:space="preserve">  </w:t>
      </w:r>
      <w:r>
        <w:rPr>
          <w:rFonts w:ascii="Calibri" w:hAnsi="Calibri"/>
          <w:b/>
          <w:sz w:val="16"/>
          <w:shd w:val="clear" w:color="auto" w:fill="1B7A6B"/>
          <w:color w:val="FFFFFF"/>
        </w:rPr>
        <w:t xml:space="preserve">  OPPORTUNITY SECTORS  </w:t>
      </w:r>
    </w:p>
    <w:p>
      <w:pPr>
        <w:pStyle w:val="ListBullet"/>
        <w:spacing w:before="20" w:after="20"/>
        <w:ind w:left="360"/>
      </w:pPr>
      <w:r>
        <w:rPr>
          <w:rFonts w:ascii="Calibri" w:hAnsi="Calibri"/>
          <w:b w:val="0"/>
          <w:i w:val="0"/>
          <w:color w:val="2C2C2C"/>
          <w:sz w:val="20"/>
          <w:u w:val="none"/>
        </w:rPr>
        <w:t>Waste-to-energy: combustion flue gas CO₂ typically 8–12%; Kwinana (Perth, WA) is Australia's only operational WtE facility (opened November 2025)</w:t>
      </w:r>
    </w:p>
    <w:p>
      <w:pPr>
        <w:pStyle w:val="ListBullet"/>
        <w:spacing w:before="20" w:after="20"/>
        <w:ind w:left="360"/>
      </w:pPr>
      <w:r>
        <w:rPr>
          <w:rFonts w:ascii="Calibri" w:hAnsi="Calibri"/>
          <w:b w:val="0"/>
          <w:i w:val="0"/>
          <w:color w:val="2C2C2C"/>
          <w:sz w:val="20"/>
          <w:u w:val="none"/>
        </w:rPr>
        <w:t>Cement and lime: ~4.7 Mt CO₂/year from Australian integrated cement production (2020-21); of this ~60% is process/calcination CO₂ (LEILAC domain), ~28% is thermal combustion flue gas at 14–25% CO₂ (ARK's domain), ~12% is indirect electricity emissions</w:t>
      </w:r>
    </w:p>
    <w:p>
      <w:pPr>
        <w:pStyle w:val="ListBullet"/>
        <w:spacing w:before="20" w:after="20"/>
        <w:ind w:left="360"/>
      </w:pPr>
      <w:r>
        <w:rPr>
          <w:rFonts w:ascii="Calibri" w:hAnsi="Calibri"/>
          <w:b w:val="0"/>
          <w:i w:val="0"/>
          <w:color w:val="2C2C2C"/>
          <w:sz w:val="20"/>
          <w:u w:val="none"/>
        </w:rPr>
        <w:t>Biomass / sugar co-generation: flue gas CO₂ typically 10–14%; Queensland bagasse mills are medium-term targets after an Australian ARK reference project is established</w:t>
      </w:r>
    </w:p>
    <w:p>
      <w:pPr>
        <w:pStyle w:val="ListBullet"/>
        <w:spacing w:before="20" w:after="20"/>
        <w:ind w:left="360"/>
      </w:pPr>
      <w:r>
        <w:rPr>
          <w:rFonts w:ascii="Calibri" w:hAnsi="Calibri"/>
          <w:b w:val="0"/>
          <w:i w:val="0"/>
          <w:color w:val="2C2C2C"/>
          <w:sz w:val="20"/>
          <w:u w:val="none"/>
        </w:rPr>
        <w:t>Gas-fired power: flue gas CO₂ typically 4–9% — lowest concentration, most challenging economic case; longer-term opportunity</w:t>
      </w:r>
    </w:p>
    <w:p>
      <w:pPr>
        <w:spacing w:before="160" w:after="40"/>
        <w:jc w:val="left"/>
      </w:pPr>
      <w:r>
        <w:rPr>
          <w:rFonts w:ascii="Calibri" w:hAnsi="Calibri"/>
          <w:b/>
          <w:i w:val="0"/>
          <w:color w:val="2C2C2C"/>
          <w:sz w:val="21"/>
          <w:u w:val="none"/>
        </w:rPr>
        <w:t>CCS Storage Infrastructure</w:t>
      </w:r>
      <w:r>
        <w:t xml:space="preserve">  </w:t>
      </w:r>
      <w:r>
        <w:rPr>
          <w:rFonts w:ascii="Calibri" w:hAnsi="Calibri"/>
          <w:b/>
          <w:sz w:val="16"/>
          <w:shd w:val="clear" w:color="auto" w:fill="888888"/>
          <w:color w:val="FFFFFF"/>
        </w:rPr>
        <w:t xml:space="preserve">  INFRASTRUCTURE  </w:t>
      </w:r>
    </w:p>
    <w:p>
      <w:pPr>
        <w:pStyle w:val="ListBullet"/>
        <w:spacing w:before="20" w:after="20"/>
        <w:ind w:left="360"/>
      </w:pPr>
      <w:r>
        <w:rPr>
          <w:rFonts w:ascii="Calibri" w:hAnsi="Calibri"/>
          <w:b w:val="0"/>
          <w:i w:val="0"/>
          <w:color w:val="2C2C2C"/>
          <w:sz w:val="20"/>
          <w:u w:val="none"/>
        </w:rPr>
        <w:t>Gorgon CCS (WA, Chevron): Australia's first commercial CCS project; stored more than 11 Mt CO₂ to July 2025</w:t>
      </w:r>
    </w:p>
    <w:p>
      <w:pPr>
        <w:pStyle w:val="ListBullet"/>
        <w:spacing w:before="20" w:after="20"/>
        <w:ind w:left="360"/>
      </w:pPr>
      <w:r>
        <w:rPr>
          <w:rFonts w:ascii="Calibri" w:hAnsi="Calibri"/>
          <w:b w:val="0"/>
          <w:i w:val="0"/>
          <w:color w:val="2C2C2C"/>
          <w:sz w:val="20"/>
          <w:u w:val="none"/>
        </w:rPr>
        <w:t>Moomba CCS (SA, Santos): operational since October 2024; storing approximately 1.7 Mtpa CO₂ in depleted Cooper Basin gas fields</w:t>
      </w:r>
    </w:p>
    <w:p>
      <w:pPr>
        <w:pStyle w:val="ListBullet"/>
        <w:spacing w:before="20" w:after="20"/>
        <w:ind w:left="360"/>
      </w:pPr>
      <w:r>
        <w:rPr>
          <w:rFonts w:ascii="Calibri" w:hAnsi="Calibri"/>
          <w:b w:val="0"/>
          <w:i w:val="0"/>
          <w:color w:val="2C2C2C"/>
          <w:sz w:val="20"/>
          <w:u w:val="none"/>
        </w:rPr>
        <w:t>South West Hub (WA): proposed regional CO₂ storage hub in the Perth Basin; relevant to Kwinana/Adbri/ARK cluster</w:t>
      </w:r>
    </w:p>
    <w:p>
      <w:pPr>
        <w:pStyle w:val="ListBullet"/>
        <w:spacing w:before="20" w:after="20"/>
        <w:ind w:left="360"/>
      </w:pPr>
      <w:r>
        <w:rPr>
          <w:rFonts w:ascii="Calibri" w:hAnsi="Calibri"/>
          <w:b w:val="0"/>
          <w:i w:val="0"/>
          <w:color w:val="2C2C2C"/>
          <w:sz w:val="20"/>
          <w:u w:val="none"/>
        </w:rPr>
        <w:t>10 offshore storage acreage areas released in 2023 across Bonaparte, Browse, Northern Carnarvon, Perth, Otway, Bass and Gippsland basins</w:t>
      </w:r>
    </w:p>
    <w:p>
      <w:pPr>
        <w:spacing w:before="200" w:after="80"/>
        <w:ind w:left="216"/>
        <w:pBdr>
          <w:left w:val="single" w:sz="18" w:space="6" w:color="1B7A6B"/>
        </w:pBdr>
      </w:pPr>
      <w:r>
        <w:rPr>
          <w:rFonts w:ascii="Calibri" w:hAnsi="Calibri"/>
          <w:b/>
          <w:i w:val="0"/>
          <w:color w:val="1B7A6B"/>
          <w:sz w:val="21"/>
          <w:u w:val="none"/>
        </w:rPr>
        <w:t>Updates This Month</w:t>
      </w:r>
    </w:p>
    <w:p>
      <w:pPr>
        <w:spacing w:before="80" w:after="80"/>
        <w:jc w:val="left"/>
      </w:pPr>
      <w:r>
        <w:rPr>
          <w:rFonts w:ascii="Calibri" w:hAnsi="Calibri"/>
          <w:b w:val="0"/>
          <w:i/>
          <w:color w:val="555555"/>
          <w:sz w:val="20"/>
          <w:u w:val="none"/>
        </w:rPr>
        <w:t>No new items identified this period.</w:t>
      </w:r>
    </w:p>
    <w:p>
      <w:pPr>
        <w:spacing w:before="200" w:after="80"/>
        <w:ind w:left="216"/>
        <w:pBdr>
          <w:left w:val="single" w:sz="18" w:space="6" w:color="1B7A6B"/>
        </w:pBdr>
      </w:pPr>
      <w:r>
        <w:rPr>
          <w:rFonts w:ascii="Calibri" w:hAnsi="Calibri"/>
          <w:b/>
          <w:i w:val="0"/>
          <w:color w:val="1B7A6B"/>
          <w:sz w:val="21"/>
          <w:u w:val="none"/>
        </w:rPr>
        <w:t>Changes Since Last Issue</w:t>
      </w:r>
    </w:p>
    <w:p>
      <w:pPr>
        <w:spacing w:before="80" w:after="80"/>
        <w:ind w:left="216" w:right="216"/>
        <w:shd w:val="clear" w:color="auto" w:fill="D6EDE9"/>
      </w:pPr>
      <w:r>
        <w:rPr>
          <w:rFonts w:ascii="Calibri" w:hAnsi="Calibri"/>
          <w:b w:val="0"/>
          <w:i/>
          <w:color w:val="2C2C2C"/>
          <w:sz w:val="20"/>
          <w:u w:val="none"/>
        </w:rPr>
        <w:t>— Inaugural issue. Changes section will be populated from the second issue onwards. —</w:t>
      </w:r>
    </w:p>
    <w:p>
      <w:pPr>
        <w:spacing w:before="20" w:after="20"/>
        <w:pBdr>
          <w:bottom w:val="single" w:sz="6" w:space="1" w:color="1B7A6B"/>
        </w:pBdr>
      </w:pPr>
    </w:p>
    <w:p>
      <w:pPr>
        <w:spacing w:before="320" w:after="0"/>
        <w:jc w:val="left"/>
      </w:pPr>
    </w:p>
    <w:p>
      <w:pPr>
        <w:spacing w:before="0" w:after="80"/>
      </w:pPr>
      <w:r>
        <w:rPr>
          <w:rFonts w:ascii="Calibri" w:hAnsi="Calibri"/>
          <w:b/>
          <w:i w:val="0"/>
          <w:color w:val="0D2D4A"/>
          <w:sz w:val="24"/>
          <w:u w:val="none"/>
        </w:rPr>
        <w:t>COMPETITORS</w:t>
      </w:r>
    </w:p>
    <w:p>
      <w:pPr>
        <w:spacing w:before="20" w:after="20"/>
        <w:pBdr>
          <w:bottom w:val="single" w:sz="10" w:space="1" w:color="0D2D4A"/>
        </w:pBdr>
      </w:pPr>
    </w:p>
    <w:p>
      <w:pPr>
        <w:spacing w:before="200" w:after="80"/>
        <w:ind w:left="216"/>
        <w:pBdr>
          <w:left w:val="single" w:sz="18" w:space="6" w:color="1B7A6B"/>
        </w:pBdr>
      </w:pPr>
      <w:r>
        <w:rPr>
          <w:rFonts w:ascii="Calibri" w:hAnsi="Calibri"/>
          <w:b/>
          <w:i w:val="0"/>
          <w:color w:val="1B7A6B"/>
          <w:sz w:val="21"/>
          <w:u w:val="none"/>
        </w:rPr>
        <w:t>Market Background</w:t>
      </w:r>
    </w:p>
    <w:p>
      <w:pPr>
        <w:spacing w:before="160" w:after="40"/>
        <w:jc w:val="left"/>
      </w:pPr>
      <w:r>
        <w:rPr>
          <w:rFonts w:ascii="Calibri" w:hAnsi="Calibri"/>
          <w:b/>
          <w:i w:val="0"/>
          <w:color w:val="2C2C2C"/>
          <w:sz w:val="21"/>
          <w:u w:val="none"/>
        </w:rPr>
        <w:t>Amine / MEA Post-Combustion Capture</w:t>
      </w:r>
      <w:r>
        <w:t xml:space="preserve">  </w:t>
      </w:r>
      <w:r>
        <w:rPr>
          <w:rFonts w:ascii="Calibri" w:hAnsi="Calibri"/>
          <w:b/>
          <w:sz w:val="16"/>
          <w:shd w:val="clear" w:color="auto" w:fill="888888"/>
          <w:color w:val="FFFFFF"/>
        </w:rPr>
        <w:t xml:space="preserve">  INCUMBENT TECH  </w:t>
      </w:r>
    </w:p>
    <w:p>
      <w:pPr>
        <w:pStyle w:val="ListBullet"/>
        <w:spacing w:before="20" w:after="20"/>
        <w:ind w:left="360"/>
      </w:pPr>
      <w:r>
        <w:rPr>
          <w:rFonts w:ascii="Calibri" w:hAnsi="Calibri"/>
          <w:b w:val="0"/>
          <w:i w:val="0"/>
          <w:color w:val="2C2C2C"/>
          <w:sz w:val="20"/>
          <w:u w:val="none"/>
        </w:rPr>
        <w:t>Mature technology; capture efficiency up to 95% but requires continuous steam for solvent regeneration — cost and energy penalty increases sharply at lower CO₂ concentrations</w:t>
      </w:r>
    </w:p>
    <w:p>
      <w:pPr>
        <w:pStyle w:val="ListBullet"/>
        <w:spacing w:before="20" w:after="20"/>
        <w:ind w:left="360"/>
      </w:pPr>
      <w:r>
        <w:rPr>
          <w:rFonts w:ascii="Calibri" w:hAnsi="Calibri"/>
          <w:b w:val="0"/>
          <w:i w:val="0"/>
          <w:color w:val="2C2C2C"/>
          <w:sz w:val="20"/>
          <w:u w:val="none"/>
        </w:rPr>
        <w:t>ARK states capture cost at low concentrations is €90–156/tonne CO₂ for amine scrubbing (company-stated benchmark; no independent Australian cost study found)</w:t>
      </w:r>
    </w:p>
    <w:p>
      <w:pPr>
        <w:pStyle w:val="ListBullet"/>
        <w:spacing w:before="20" w:after="20"/>
        <w:ind w:left="360"/>
      </w:pPr>
      <w:r>
        <w:rPr>
          <w:rFonts w:ascii="Calibri" w:hAnsi="Calibri"/>
          <w:b w:val="0"/>
          <w:i w:val="0"/>
          <w:color w:val="2C2C2C"/>
          <w:sz w:val="20"/>
          <w:u w:val="none"/>
        </w:rPr>
        <w:t>Cannot exploit low/negative electricity price periods</w:t>
      </w:r>
    </w:p>
    <w:p>
      <w:pPr>
        <w:pStyle w:val="ListBullet"/>
        <w:spacing w:before="20" w:after="20"/>
        <w:ind w:left="360"/>
      </w:pPr>
      <w:r>
        <w:rPr>
          <w:rFonts w:ascii="Calibri" w:hAnsi="Calibri"/>
          <w:b w:val="0"/>
          <w:i w:val="0"/>
          <w:color w:val="2C2C2C"/>
          <w:sz w:val="20"/>
          <w:u w:val="none"/>
        </w:rPr>
        <w:t>Not commercially deployed for WtE or biomass flue gas in Australia as of Q1 2026</w:t>
      </w:r>
    </w:p>
    <w:p>
      <w:pPr>
        <w:spacing w:before="160" w:after="40"/>
        <w:jc w:val="left"/>
      </w:pPr>
      <w:r>
        <w:rPr>
          <w:rFonts w:ascii="Calibri" w:hAnsi="Calibri"/>
          <w:b/>
          <w:i w:val="0"/>
          <w:color w:val="2C2C2C"/>
          <w:sz w:val="21"/>
          <w:u w:val="none"/>
        </w:rPr>
        <w:t>Calix / LEILAC — Complementary, Not Competing</w:t>
      </w:r>
      <w:r>
        <w:t xml:space="preserve">  </w:t>
      </w:r>
      <w:r>
        <w:rPr>
          <w:rFonts w:ascii="Calibri" w:hAnsi="Calibri"/>
          <w:b/>
          <w:sz w:val="16"/>
          <w:shd w:val="clear" w:color="auto" w:fill="1B7A6B"/>
          <w:color w:val="FFFFFF"/>
        </w:rPr>
        <w:t xml:space="preserve">  COMPLEMENTARY  </w:t>
      </w:r>
    </w:p>
    <w:p>
      <w:pPr>
        <w:pStyle w:val="ListBullet"/>
        <w:spacing w:before="20" w:after="20"/>
        <w:ind w:left="360"/>
      </w:pPr>
      <w:r>
        <w:rPr>
          <w:rFonts w:ascii="Calibri" w:hAnsi="Calibri"/>
          <w:b w:val="0"/>
          <w:i w:val="0"/>
          <w:color w:val="2C2C2C"/>
          <w:sz w:val="20"/>
          <w:u w:val="none"/>
        </w:rPr>
        <w:t>LEILAC uses indirect heating to capture unavoidable process/calcination CO₂ (~60% of integrated cement plant emissions) — it does not address combustion flue gas</w:t>
      </w:r>
    </w:p>
    <w:p>
      <w:pPr>
        <w:pStyle w:val="ListBullet"/>
        <w:spacing w:before="20" w:after="20"/>
        <w:ind w:left="360"/>
      </w:pPr>
      <w:r>
        <w:rPr>
          <w:rFonts w:ascii="Calibri" w:hAnsi="Calibri"/>
          <w:b w:val="0"/>
          <w:i w:val="0"/>
          <w:color w:val="2C2C2C"/>
          <w:sz w:val="20"/>
          <w:u w:val="none"/>
        </w:rPr>
        <w:t>ARK addresses the thermal combustion flue gas portion (~28% of cement plant emissions, 14–25% CO₂ concentration) which LEILAC does not capture</w:t>
      </w:r>
    </w:p>
    <w:p>
      <w:pPr>
        <w:pStyle w:val="ListBullet"/>
        <w:spacing w:before="20" w:after="20"/>
        <w:ind w:left="360"/>
      </w:pPr>
      <w:r>
        <w:rPr>
          <w:rFonts w:ascii="Calibri" w:hAnsi="Calibri"/>
          <w:b w:val="0"/>
          <w:i w:val="0"/>
          <w:color w:val="2C2C2C"/>
          <w:sz w:val="20"/>
          <w:u w:val="none"/>
        </w:rPr>
        <w:t>A combined LEILAC + ARK proposal for a cement or lime plant covers whole-plant decarbonisation — the strongest possible CCTP Round 2 application structure</w:t>
      </w:r>
    </w:p>
    <w:p>
      <w:pPr>
        <w:pStyle w:val="ListBullet"/>
        <w:spacing w:before="20" w:after="20"/>
        <w:ind w:left="360"/>
      </w:pPr>
      <w:r>
        <w:rPr>
          <w:rFonts w:ascii="Calibri" w:hAnsi="Calibri"/>
          <w:b w:val="0"/>
          <w:i w:val="0"/>
          <w:color w:val="2C2C2C"/>
          <w:sz w:val="20"/>
          <w:u w:val="none"/>
        </w:rPr>
        <w:t>Current Australian status: AUD $15M CCTP Round 1 grant for Project ZETA (lime CCU demonstration, South Australia); pre-FEED completed 26 September 2025; now at FEED stage, on budget and on schedule</w:t>
      </w:r>
    </w:p>
    <w:p>
      <w:pPr>
        <w:pStyle w:val="ListBullet"/>
        <w:spacing w:before="20" w:after="20"/>
        <w:ind w:left="360"/>
      </w:pPr>
      <w:r>
        <w:rPr>
          <w:rFonts w:ascii="Calibri" w:hAnsi="Calibri"/>
          <w:b w:val="0"/>
          <w:i w:val="0"/>
          <w:color w:val="2C2C2C"/>
          <w:sz w:val="20"/>
          <w:u w:val="none"/>
        </w:rPr>
        <w:t>Heidelberg Materials (Cement Australia's parent) holds an indefinite global LEILAC licence; LEILAC-2 commissioning in Germany (Ennigerloh) targeted mid-2026</w:t>
      </w:r>
    </w:p>
    <w:p>
      <w:pPr>
        <w:spacing w:before="160" w:after="40"/>
        <w:jc w:val="left"/>
      </w:pPr>
      <w:r>
        <w:rPr>
          <w:rFonts w:ascii="Calibri" w:hAnsi="Calibri"/>
          <w:b/>
          <w:i w:val="0"/>
          <w:color w:val="2C2C2C"/>
          <w:sz w:val="21"/>
          <w:u w:val="none"/>
        </w:rPr>
        <w:t>Membrane Separation</w:t>
      </w:r>
      <w:r>
        <w:t xml:space="preserve">  </w:t>
      </w:r>
      <w:r>
        <w:rPr>
          <w:rFonts w:ascii="Calibri" w:hAnsi="Calibri"/>
          <w:b/>
          <w:sz w:val="16"/>
          <w:shd w:val="clear" w:color="auto" w:fill="888888"/>
          <w:color w:val="FFFFFF"/>
        </w:rPr>
        <w:t xml:space="preserve">  EMERGING TECH  </w:t>
      </w:r>
    </w:p>
    <w:p>
      <w:pPr>
        <w:pStyle w:val="ListBullet"/>
        <w:spacing w:before="20" w:after="20"/>
        <w:ind w:left="360"/>
      </w:pPr>
      <w:r>
        <w:rPr>
          <w:rFonts w:ascii="Calibri" w:hAnsi="Calibri"/>
          <w:b w:val="0"/>
          <w:i w:val="0"/>
          <w:color w:val="2C2C2C"/>
          <w:sz w:val="20"/>
          <w:u w:val="none"/>
        </w:rPr>
        <w:t>Emerging technology; not commercially deployed at industrial scale for flue gas streams below ~10% CO₂ in Australia as of Q1 2026</w:t>
      </w:r>
    </w:p>
    <w:p>
      <w:pPr>
        <w:spacing w:before="160" w:after="40"/>
        <w:jc w:val="left"/>
      </w:pPr>
      <w:r>
        <w:rPr>
          <w:rFonts w:ascii="Calibri" w:hAnsi="Calibri"/>
          <w:b/>
          <w:i w:val="0"/>
          <w:color w:val="2C2C2C"/>
          <w:sz w:val="21"/>
          <w:u w:val="none"/>
        </w:rPr>
        <w:t>Cryogenic Separation</w:t>
      </w:r>
      <w:r>
        <w:t xml:space="preserve">  </w:t>
      </w:r>
      <w:r>
        <w:rPr>
          <w:rFonts w:ascii="Calibri" w:hAnsi="Calibri"/>
          <w:b/>
          <w:sz w:val="16"/>
          <w:shd w:val="clear" w:color="auto" w:fill="888888"/>
          <w:color w:val="FFFFFF"/>
        </w:rPr>
        <w:t xml:space="preserve">  EMERGING TECH  </w:t>
      </w:r>
    </w:p>
    <w:p>
      <w:pPr>
        <w:pStyle w:val="ListBullet"/>
        <w:spacing w:before="20" w:after="20"/>
        <w:ind w:left="360"/>
      </w:pPr>
      <w:r>
        <w:rPr>
          <w:rFonts w:ascii="Calibri" w:hAnsi="Calibri"/>
          <w:b w:val="0"/>
          <w:i w:val="0"/>
          <w:color w:val="2C2C2C"/>
          <w:sz w:val="20"/>
          <w:u w:val="none"/>
        </w:rPr>
        <w:t>Fully electric process; suited to contaminated flue streams in principle; very high electricity consumption per tonne CO₂; not commercially deployed at WtE or biomass scale in Australia as of Q1 2026</w:t>
      </w:r>
    </w:p>
    <w:p>
      <w:pPr>
        <w:spacing w:before="160" w:after="40"/>
        <w:jc w:val="left"/>
      </w:pPr>
      <w:r>
        <w:rPr>
          <w:rFonts w:ascii="Calibri" w:hAnsi="Calibri"/>
          <w:b/>
          <w:i w:val="0"/>
          <w:color w:val="2C2C2C"/>
          <w:sz w:val="21"/>
          <w:u w:val="none"/>
        </w:rPr>
        <w:t>CSIRO — Amine-Based PCC Research</w:t>
      </w:r>
      <w:r>
        <w:t xml:space="preserve">  </w:t>
      </w:r>
      <w:r>
        <w:rPr>
          <w:rFonts w:ascii="Calibri" w:hAnsi="Calibri"/>
          <w:b/>
          <w:sz w:val="16"/>
          <w:shd w:val="clear" w:color="auto" w:fill="0D2D4A"/>
          <w:color w:val="FFFFFF"/>
        </w:rPr>
        <w:t xml:space="preserve">  ACTIVE R&amp;D  </w:t>
      </w:r>
    </w:p>
    <w:p>
      <w:pPr>
        <w:pStyle w:val="ListBullet"/>
        <w:spacing w:before="20" w:after="20"/>
        <w:ind w:left="360"/>
      </w:pPr>
      <w:r>
        <w:rPr>
          <w:rFonts w:ascii="Calibri" w:hAnsi="Calibri"/>
          <w:b w:val="0"/>
          <w:i w:val="0"/>
          <w:color w:val="2C2C2C"/>
          <w:sz w:val="20"/>
          <w:u w:val="none"/>
        </w:rPr>
        <w:t>CSIRO has developed proprietary cyclic amine absorbents with claimed lower energy requirements than conventional MEA; partnership with US-based ION Clean Energy for commercialisation</w:t>
      </w:r>
    </w:p>
    <w:p>
      <w:pPr>
        <w:pStyle w:val="ListBullet"/>
        <w:spacing w:before="20" w:after="20"/>
        <w:ind w:left="360"/>
      </w:pPr>
      <w:r>
        <w:rPr>
          <w:rFonts w:ascii="Calibri" w:hAnsi="Calibri"/>
          <w:b w:val="0"/>
          <w:i w:val="0"/>
          <w:color w:val="2C2C2C"/>
          <w:sz w:val="20"/>
          <w:u w:val="none"/>
        </w:rPr>
        <w:t>Active R&amp;D programme targeting post-combustion capture across concentration ranges; no commercial deployment in Australia identified as of Q1 2026</w:t>
      </w:r>
    </w:p>
    <w:p>
      <w:pPr>
        <w:pStyle w:val="ListBullet"/>
        <w:spacing w:before="20" w:after="20"/>
        <w:ind w:left="360"/>
      </w:pPr>
      <w:r>
        <w:rPr>
          <w:rFonts w:ascii="Calibri" w:hAnsi="Calibri"/>
          <w:b w:val="0"/>
          <w:i w:val="0"/>
          <w:color w:val="2C2C2C"/>
          <w:sz w:val="20"/>
          <w:u w:val="none"/>
        </w:rPr>
        <w:t>Also relevant as a potential CCTP Round 2 lead partner for ARK (CSIRO is an ABN-holding eligible lead applicant)</w:t>
      </w:r>
    </w:p>
    <w:p>
      <w:pPr>
        <w:spacing w:before="160" w:after="40"/>
        <w:jc w:val="left"/>
      </w:pPr>
      <w:r>
        <w:rPr>
          <w:rFonts w:ascii="Calibri" w:hAnsi="Calibri"/>
          <w:b/>
          <w:i w:val="0"/>
          <w:color w:val="2C2C2C"/>
          <w:sz w:val="21"/>
          <w:u w:val="none"/>
        </w:rPr>
        <w:t>Competitive Position Summary</w:t>
      </w:r>
      <w:r>
        <w:t xml:space="preserve">  </w:t>
      </w:r>
      <w:r>
        <w:rPr>
          <w:rFonts w:ascii="Calibri" w:hAnsi="Calibri"/>
          <w:b/>
          <w:sz w:val="16"/>
          <w:shd w:val="clear" w:color="auto" w:fill="0D2D4A"/>
          <w:color w:val="FFFFFF"/>
        </w:rPr>
        <w:t xml:space="preserve">  SUMMARY  </w:t>
      </w:r>
    </w:p>
    <w:p>
      <w:pPr>
        <w:pStyle w:val="ListBullet"/>
        <w:spacing w:before="20" w:after="20"/>
        <w:ind w:left="360"/>
      </w:pPr>
      <w:r>
        <w:rPr>
          <w:rFonts w:ascii="Calibri" w:hAnsi="Calibri"/>
          <w:b w:val="0"/>
          <w:i w:val="0"/>
          <w:color w:val="2C2C2C"/>
          <w:sz w:val="20"/>
          <w:u w:val="none"/>
        </w:rPr>
        <w:t>No clear public evidence of a competing commercial technology deployed for low-concentration flue gas capture at WtE, biomass or cement combustion flue gas scale in Australia as of Q1 2026</w:t>
      </w:r>
    </w:p>
    <w:p>
      <w:pPr>
        <w:pStyle w:val="ListBullet"/>
        <w:spacing w:before="20" w:after="20"/>
        <w:ind w:left="360"/>
      </w:pPr>
      <w:r>
        <w:rPr>
          <w:rFonts w:ascii="Calibri" w:hAnsi="Calibri"/>
          <w:b w:val="0"/>
          <w:i w:val="0"/>
          <w:color w:val="2C2C2C"/>
          <w:sz w:val="20"/>
          <w:u w:val="none"/>
        </w:rPr>
        <w:t>ARK's claim of cost leadership in the 4–15% CO₂ range is directionally credible based on publicly available information</w:t>
      </w:r>
    </w:p>
    <w:p>
      <w:pPr>
        <w:pStyle w:val="ListBullet"/>
        <w:spacing w:before="20" w:after="20"/>
        <w:ind w:left="360"/>
      </w:pPr>
      <w:r>
        <w:rPr>
          <w:rFonts w:ascii="Calibri" w:hAnsi="Calibri"/>
          <w:b w:val="0"/>
          <w:i w:val="0"/>
          <w:color w:val="2C2C2C"/>
          <w:sz w:val="20"/>
          <w:u w:val="none"/>
        </w:rPr>
        <w:t>Publication of independent pilot performance data from the Belgian 50 t/yr plant would be the single most important step toward commercial credibility with Australian buyers and grant panels</w:t>
      </w:r>
    </w:p>
    <w:p>
      <w:pPr>
        <w:spacing w:before="200" w:after="80"/>
        <w:ind w:left="216"/>
        <w:pBdr>
          <w:left w:val="single" w:sz="18" w:space="6" w:color="1B7A6B"/>
        </w:pBdr>
      </w:pPr>
      <w:r>
        <w:rPr>
          <w:rFonts w:ascii="Calibri" w:hAnsi="Calibri"/>
          <w:b/>
          <w:i w:val="0"/>
          <w:color w:val="1B7A6B"/>
          <w:sz w:val="21"/>
          <w:u w:val="none"/>
        </w:rPr>
        <w:t>Updates This Month</w:t>
      </w:r>
    </w:p>
    <w:p>
      <w:pPr>
        <w:spacing w:before="200" w:after="40"/>
        <w:jc w:val="left"/>
      </w:pPr>
      <w:r>
        <w:rPr>
          <w:rFonts w:ascii="Calibri" w:hAnsi="Calibri"/>
          <w:b/>
          <w:i w:val="0"/>
          <w:color w:val="2C2C2C"/>
          <w:sz w:val="22"/>
          <w:u w:val="none"/>
        </w:rPr>
        <w:t>Toyota Plans to Join Volvo, Daimler Hydrogen Fuel Cell JV</w:t>
      </w:r>
    </w:p>
    <w:p>
      <w:pPr>
        <w:spacing w:before="0" w:after="40"/>
        <w:jc w:val="left"/>
      </w:pPr>
      <w:r>
        <w:rPr>
          <w:rFonts w:ascii="Calibri" w:hAnsi="Calibri"/>
          <w:b/>
          <w:i w:val="0"/>
          <w:color w:val="555555"/>
          <w:sz w:val="20"/>
          <w:u w:val="none"/>
        </w:rPr>
        <w:t xml:space="preserve">Published:  </w:t>
      </w:r>
      <w:r>
        <w:rPr>
          <w:rFonts w:ascii="Calibri" w:hAnsi="Calibri"/>
          <w:b w:val="0"/>
          <w:i/>
          <w:color w:val="555555"/>
          <w:sz w:val="20"/>
          <w:u w:val="none"/>
        </w:rPr>
        <w:t>31 March 2026</w:t>
      </w:r>
    </w:p>
    <w:p>
      <w:pPr>
        <w:spacing w:before="40" w:after="60"/>
        <w:jc w:val="left"/>
      </w:pPr>
      <w:r>
        <w:rPr>
          <w:rFonts w:ascii="Calibri" w:hAnsi="Calibri"/>
          <w:b/>
          <w:i w:val="0"/>
          <w:color w:val="2C2C2C"/>
          <w:sz w:val="21"/>
          <w:u w:val="none"/>
        </w:rPr>
        <w:t xml:space="preserve">Summary:  </w:t>
      </w:r>
      <w:r>
        <w:rPr>
          <w:rFonts w:ascii="Calibri" w:hAnsi="Calibri"/>
          <w:b w:val="0"/>
          <w:i w:val="0"/>
          <w:color w:val="2C2C2C"/>
          <w:sz w:val="21"/>
          <w:u w:val="none"/>
        </w:rPr>
        <w:t>&lt;p&gt;&lt;img alt="" class="attachment-post-thumbnail size-post-thumbnail wp-post-image" height="521" src="https://www.esgtoday.com/wp-content/uploads/2026/03/cellcentric-toyota.jpg" width="921" /&gt;&lt;/p&gt;Volvo Group, Daimler Truck and Toyota Motor Corporation announced today that they have signed a [&amp;#8230;]</w:t>
      </w:r>
    </w:p>
    <w:p>
      <w:pPr>
        <w:spacing w:before="40" w:after="120"/>
        <w:jc w:val="left"/>
      </w:pPr>
      <w:r>
        <w:rPr>
          <w:rFonts w:ascii="Calibri" w:hAnsi="Calibri"/>
          <w:b/>
          <w:i w:val="0"/>
          <w:color w:val="555555"/>
          <w:sz w:val="20"/>
          <w:u w:val="none"/>
        </w:rPr>
        <w:t xml:space="preserve">Source:  </w:t>
      </w:r>
      <w:hyperlink r:id="rId9" w:history="1">
        <w:r>
          <w:rPr>
            <w:color w:val="005EA2"/>
            <w:sz w:val="20"/>
            <w:szCs w:val="20"/>
          </w:rPr>
          <w:t>https://www.esgtoday.com/toyota-plans-to-join-volvo-daimler-in-hydrogen-fuel-cell-jv/</w:t>
        </w:r>
      </w:hyperlink>
    </w:p>
    <w:p>
      <w:pPr>
        <w:spacing w:before="200" w:after="40"/>
        <w:jc w:val="left"/>
      </w:pPr>
      <w:r>
        <w:rPr>
          <w:rFonts w:ascii="Calibri" w:hAnsi="Calibri"/>
          <w:b/>
          <w:i w:val="0"/>
          <w:color w:val="2C2C2C"/>
          <w:sz w:val="22"/>
          <w:u w:val="none"/>
        </w:rPr>
        <w:t>U.S. DOE Partners with Amazon to Recover Critical Materials from Clothing, Tech Waste</w:t>
      </w:r>
    </w:p>
    <w:p>
      <w:pPr>
        <w:spacing w:before="0" w:after="40"/>
        <w:jc w:val="left"/>
      </w:pPr>
      <w:r>
        <w:rPr>
          <w:rFonts w:ascii="Calibri" w:hAnsi="Calibri"/>
          <w:b/>
          <w:i w:val="0"/>
          <w:color w:val="555555"/>
          <w:sz w:val="20"/>
          <w:u w:val="none"/>
        </w:rPr>
        <w:t xml:space="preserve">Published:  </w:t>
      </w:r>
      <w:r>
        <w:rPr>
          <w:rFonts w:ascii="Calibri" w:hAnsi="Calibri"/>
          <w:b w:val="0"/>
          <w:i/>
          <w:color w:val="555555"/>
          <w:sz w:val="20"/>
          <w:u w:val="none"/>
        </w:rPr>
        <w:t>31 March 2026</w:t>
      </w:r>
    </w:p>
    <w:p>
      <w:pPr>
        <w:spacing w:before="40" w:after="60"/>
        <w:jc w:val="left"/>
      </w:pPr>
      <w:r>
        <w:rPr>
          <w:rFonts w:ascii="Calibri" w:hAnsi="Calibri"/>
          <w:b/>
          <w:i w:val="0"/>
          <w:color w:val="2C2C2C"/>
          <w:sz w:val="21"/>
          <w:u w:val="none"/>
        </w:rPr>
        <w:t xml:space="preserve">Summary:  </w:t>
      </w:r>
      <w:r>
        <w:rPr>
          <w:rFonts w:ascii="Calibri" w:hAnsi="Calibri"/>
          <w:b w:val="0"/>
          <w:i w:val="0"/>
          <w:color w:val="2C2C2C"/>
          <w:sz w:val="21"/>
          <w:u w:val="none"/>
        </w:rPr>
        <w:t>&lt;p&gt;&lt;img alt="" class="attachment-post-thumbnail size-post-thumbnail wp-post-image" height="533" src="https://www.esgtoday.com/wp-content/uploads/2026/03/Amazon3.jpg" width="888" /&gt;&lt;/p&gt;The U.S. Department of Energy’s (DOE) Ames National Laboratory and the Critical Materials Innovation (CMI) [&amp;#8230;]</w:t>
      </w:r>
    </w:p>
    <w:p>
      <w:pPr>
        <w:spacing w:before="40" w:after="120"/>
        <w:jc w:val="left"/>
      </w:pPr>
      <w:r>
        <w:rPr>
          <w:rFonts w:ascii="Calibri" w:hAnsi="Calibri"/>
          <w:b/>
          <w:i w:val="0"/>
          <w:color w:val="555555"/>
          <w:sz w:val="20"/>
          <w:u w:val="none"/>
        </w:rPr>
        <w:t xml:space="preserve">Source:  </w:t>
      </w:r>
      <w:hyperlink r:id="rId10" w:history="1">
        <w:r>
          <w:rPr>
            <w:color w:val="005EA2"/>
            <w:sz w:val="20"/>
            <w:szCs w:val="20"/>
          </w:rPr>
          <w:t>https://www.esgtoday.com/u-s-doe-partners-with-amazon-on-solutions-to-recover-critical-materials-from-textile-tech-waste/</w:t>
        </w:r>
      </w:hyperlink>
    </w:p>
    <w:p>
      <w:pPr>
        <w:spacing w:before="200" w:after="80"/>
        <w:ind w:left="216"/>
        <w:pBdr>
          <w:left w:val="single" w:sz="18" w:space="6" w:color="1B7A6B"/>
        </w:pBdr>
      </w:pPr>
      <w:r>
        <w:rPr>
          <w:rFonts w:ascii="Calibri" w:hAnsi="Calibri"/>
          <w:b/>
          <w:i w:val="0"/>
          <w:color w:val="1B7A6B"/>
          <w:sz w:val="21"/>
          <w:u w:val="none"/>
        </w:rPr>
        <w:t>Changes Since Last Issue</w:t>
      </w:r>
    </w:p>
    <w:p>
      <w:pPr>
        <w:spacing w:before="80" w:after="80"/>
        <w:ind w:left="216" w:right="216"/>
        <w:shd w:val="clear" w:color="auto" w:fill="D6EDE9"/>
      </w:pPr>
      <w:r>
        <w:rPr>
          <w:rFonts w:ascii="Calibri" w:hAnsi="Calibri"/>
          <w:b w:val="0"/>
          <w:i/>
          <w:color w:val="2C2C2C"/>
          <w:sz w:val="20"/>
          <w:u w:val="none"/>
        </w:rPr>
        <w:t>— Inaugural issue. Changes section will be populated from the second issue onwards. —</w:t>
      </w:r>
    </w:p>
    <w:p>
      <w:pPr>
        <w:spacing w:before="20" w:after="20"/>
        <w:pBdr>
          <w:bottom w:val="single" w:sz="6" w:space="1" w:color="1B7A6B"/>
        </w:pBdr>
      </w:pPr>
    </w:p>
    <w:p>
      <w:pPr>
        <w:spacing w:before="320" w:after="0"/>
        <w:jc w:val="left"/>
      </w:pPr>
    </w:p>
    <w:p>
      <w:pPr>
        <w:spacing w:before="0" w:after="80"/>
      </w:pPr>
      <w:r>
        <w:rPr>
          <w:rFonts w:ascii="Calibri" w:hAnsi="Calibri"/>
          <w:b/>
          <w:i w:val="0"/>
          <w:color w:val="0D2D4A"/>
          <w:sz w:val="24"/>
          <w:u w:val="none"/>
        </w:rPr>
        <w:t>PARTNERS &amp; BUYERS</w:t>
      </w:r>
    </w:p>
    <w:p>
      <w:pPr>
        <w:spacing w:before="20" w:after="20"/>
        <w:pBdr>
          <w:bottom w:val="single" w:sz="10" w:space="1" w:color="0D2D4A"/>
        </w:pBdr>
      </w:pPr>
    </w:p>
    <w:p>
      <w:pPr>
        <w:spacing w:before="200" w:after="80"/>
        <w:ind w:left="216"/>
        <w:pBdr>
          <w:left w:val="single" w:sz="18" w:space="6" w:color="1B7A6B"/>
        </w:pBdr>
      </w:pPr>
      <w:r>
        <w:rPr>
          <w:rFonts w:ascii="Calibri" w:hAnsi="Calibri"/>
          <w:b/>
          <w:i w:val="0"/>
          <w:color w:val="1B7A6B"/>
          <w:sz w:val="21"/>
          <w:u w:val="none"/>
        </w:rPr>
        <w:t>Market Background</w:t>
      </w:r>
    </w:p>
    <w:p>
      <w:pPr>
        <w:spacing w:before="160" w:after="40"/>
        <w:jc w:val="left"/>
      </w:pPr>
      <w:r>
        <w:rPr>
          <w:rFonts w:ascii="Calibri" w:hAnsi="Calibri"/>
          <w:b/>
          <w:i w:val="0"/>
          <w:color w:val="2C2C2C"/>
          <w:sz w:val="21"/>
          <w:u w:val="none"/>
        </w:rPr>
        <w:t>Kwinana Energy Recovery — Perth, WA</w:t>
      </w:r>
      <w:r>
        <w:t xml:space="preserve">  </w:t>
      </w:r>
      <w:r>
        <w:rPr>
          <w:rFonts w:ascii="Calibri" w:hAnsi="Calibri"/>
          <w:b/>
          <w:sz w:val="16"/>
          <w:shd w:val="clear" w:color="auto" w:fill="1B7A6B"/>
          <w:color w:val="FFFFFF"/>
        </w:rPr>
        <w:t xml:space="preserve">  PRIORITY 1 | WtE  </w:t>
      </w:r>
    </w:p>
    <w:p>
      <w:pPr>
        <w:pStyle w:val="ListBullet"/>
        <w:spacing w:before="20" w:after="20"/>
        <w:ind w:left="360"/>
      </w:pPr>
      <w:r>
        <w:rPr>
          <w:rFonts w:ascii="Calibri" w:hAnsi="Calibri"/>
          <w:b w:val="0"/>
          <w:i w:val="0"/>
          <w:color w:val="2C2C2C"/>
          <w:sz w:val="20"/>
          <w:u w:val="none"/>
        </w:rPr>
        <w:t>Owner: ACCIONA (100% since March 2024); day-to-day operations and maintenance: Veolia (long-term O&amp;M services contract)</w:t>
      </w:r>
    </w:p>
    <w:p>
      <w:pPr>
        <w:pStyle w:val="ListBullet"/>
        <w:spacing w:before="20" w:after="20"/>
        <w:ind w:left="360"/>
      </w:pPr>
      <w:r>
        <w:rPr>
          <w:rFonts w:ascii="Calibri" w:hAnsi="Calibri"/>
          <w:b w:val="0"/>
          <w:i w:val="0"/>
          <w:color w:val="2C2C2C"/>
          <w:sz w:val="20"/>
          <w:u w:val="none"/>
        </w:rPr>
        <w:t>Capacity: 460,000 tonnes/year non-recyclable waste; 38 MW baseload electricity output</w:t>
      </w:r>
    </w:p>
    <w:p>
      <w:pPr>
        <w:pStyle w:val="ListBullet"/>
        <w:spacing w:before="20" w:after="20"/>
        <w:ind w:left="360"/>
      </w:pPr>
      <w:r>
        <w:rPr>
          <w:rFonts w:ascii="Calibri" w:hAnsi="Calibri"/>
          <w:b w:val="0"/>
          <w:i w:val="0"/>
          <w:color w:val="2C2C2C"/>
          <w:sz w:val="20"/>
          <w:u w:val="none"/>
        </w:rPr>
        <w:t>Officially opened 14 November 2025; processed 90,000+ tonnes in first three months of operation</w:t>
      </w:r>
    </w:p>
    <w:p>
      <w:pPr>
        <w:pStyle w:val="ListBullet"/>
        <w:spacing w:before="20" w:after="20"/>
        <w:ind w:left="360"/>
      </w:pPr>
      <w:r>
        <w:rPr>
          <w:rFonts w:ascii="Calibri" w:hAnsi="Calibri"/>
          <w:b w:val="0"/>
          <w:i w:val="0"/>
          <w:color w:val="2C2C2C"/>
          <w:sz w:val="20"/>
          <w:u w:val="none"/>
        </w:rPr>
        <w:t>Flue gas CO₂ concentration: approximately 8–12% — directly within ARK's target range</w:t>
      </w:r>
    </w:p>
    <w:p>
      <w:pPr>
        <w:pStyle w:val="ListBullet"/>
        <w:spacing w:before="20" w:after="20"/>
        <w:ind w:left="360"/>
      </w:pPr>
      <w:r>
        <w:rPr>
          <w:rFonts w:ascii="Calibri" w:hAnsi="Calibri"/>
          <w:b w:val="0"/>
          <w:i w:val="0"/>
          <w:color w:val="2C2C2C"/>
          <w:sz w:val="20"/>
          <w:u w:val="none"/>
        </w:rPr>
        <w:t>Australia's only operational WtE facility; ACCC (July 2025): no other WtE facility likely to become operational in WA within the next decade</w:t>
      </w:r>
    </w:p>
    <w:p>
      <w:pPr>
        <w:pStyle w:val="ListBullet"/>
        <w:spacing w:before="20" w:after="20"/>
        <w:ind w:left="360"/>
      </w:pPr>
      <w:r>
        <w:rPr>
          <w:rFonts w:ascii="Calibri" w:hAnsi="Calibri"/>
          <w:b w:val="0"/>
          <w:i w:val="0"/>
          <w:color w:val="2C2C2C"/>
          <w:sz w:val="20"/>
          <w:u w:val="none"/>
        </w:rPr>
        <w:t>Highest near-term priority: ACCIONA has strong incentive to lead on decarbonisation at its flagship asset; Veolia operates 65 similar facilities globally and has direct interest in green credentials</w:t>
      </w:r>
    </w:p>
    <w:p>
      <w:pPr>
        <w:spacing w:before="160" w:after="40"/>
        <w:jc w:val="left"/>
      </w:pPr>
      <w:r>
        <w:rPr>
          <w:rFonts w:ascii="Calibri" w:hAnsi="Calibri"/>
          <w:b/>
          <w:i w:val="0"/>
          <w:color w:val="2C2C2C"/>
          <w:sz w:val="21"/>
          <w:u w:val="none"/>
        </w:rPr>
        <w:t>East Rockingham Resource Recovery Facility — Perth, WA</w:t>
      </w:r>
      <w:r>
        <w:t xml:space="preserve">  </w:t>
      </w:r>
      <w:r>
        <w:rPr>
          <w:rFonts w:ascii="Calibri" w:hAnsi="Calibri"/>
          <w:b/>
          <w:sz w:val="16"/>
          <w:shd w:val="clear" w:color="auto" w:fill="E67E22"/>
          <w:color w:val="FFFFFF"/>
        </w:rPr>
        <w:t xml:space="preserve">  WATCHLIST  </w:t>
      </w:r>
    </w:p>
    <w:p>
      <w:pPr>
        <w:pStyle w:val="ListBullet"/>
        <w:spacing w:before="20" w:after="20"/>
        <w:ind w:left="360"/>
      </w:pPr>
      <w:r>
        <w:rPr>
          <w:rFonts w:ascii="Calibri" w:hAnsi="Calibri"/>
          <w:b w:val="0"/>
          <w:i w:val="0"/>
          <w:color w:val="2C2C2C"/>
          <w:sz w:val="20"/>
          <w:u w:val="none"/>
        </w:rPr>
        <w:t>Approved capacity: 300,000 t/year; 29 MW; AUD $511M project (AUD $18M ARENA grant, AUD $57.5M CEFC debt)</w:t>
      </w:r>
    </w:p>
    <w:p>
      <w:pPr>
        <w:pStyle w:val="ListBullet"/>
        <w:spacing w:before="20" w:after="20"/>
        <w:ind w:left="360"/>
      </w:pPr>
      <w:r>
        <w:rPr>
          <w:rFonts w:ascii="Calibri" w:hAnsi="Calibri"/>
          <w:b w:val="0"/>
          <w:i w:val="0"/>
          <w:color w:val="2C2C2C"/>
          <w:sz w:val="20"/>
          <w:u w:val="none"/>
        </w:rPr>
        <w:t>Currently in voluntary administration and receivership; ACCIONA's proposed acquisition was withdrawn on 13 October 2025 following ACCC competition concerns</w:t>
      </w:r>
    </w:p>
    <w:p>
      <w:pPr>
        <w:pStyle w:val="ListBullet"/>
        <w:spacing w:before="20" w:after="20"/>
        <w:ind w:left="360"/>
      </w:pPr>
      <w:r>
        <w:rPr>
          <w:rFonts w:ascii="Calibri" w:hAnsi="Calibri"/>
          <w:b w:val="0"/>
          <w:i w:val="0"/>
          <w:color w:val="2C2C2C"/>
          <w:sz w:val="20"/>
          <w:u w:val="none"/>
        </w:rPr>
        <w:t>As of Q1 2026, no new buyer or resolution has been publicly announced; operational timeline and ownership entirely uncertain</w:t>
      </w:r>
    </w:p>
    <w:p>
      <w:pPr>
        <w:pStyle w:val="ListBullet"/>
        <w:spacing w:before="20" w:after="20"/>
        <w:ind w:left="360"/>
      </w:pPr>
      <w:r>
        <w:rPr>
          <w:rFonts w:ascii="Calibri" w:hAnsi="Calibri"/>
          <w:b w:val="0"/>
          <w:i w:val="0"/>
          <w:color w:val="2C2C2C"/>
          <w:sz w:val="20"/>
          <w:u w:val="none"/>
        </w:rPr>
        <w:t>GG Advisory recommendation: do not engage until administration and ownership are fully resolved</w:t>
      </w:r>
    </w:p>
    <w:p>
      <w:pPr>
        <w:spacing w:before="160" w:after="40"/>
        <w:jc w:val="left"/>
      </w:pPr>
      <w:r>
        <w:rPr>
          <w:rFonts w:ascii="Calibri" w:hAnsi="Calibri"/>
          <w:b/>
          <w:i w:val="0"/>
          <w:color w:val="2C2C2C"/>
          <w:sz w:val="21"/>
          <w:u w:val="none"/>
        </w:rPr>
        <w:t>Boral — Berrima Cement Works, NSW</w:t>
      </w:r>
      <w:r>
        <w:t xml:space="preserve">  </w:t>
      </w:r>
      <w:r>
        <w:rPr>
          <w:rFonts w:ascii="Calibri" w:hAnsi="Calibri"/>
          <w:b/>
          <w:sz w:val="16"/>
          <w:shd w:val="clear" w:color="auto" w:fill="1B7A6B"/>
          <w:color w:val="FFFFFF"/>
        </w:rPr>
        <w:t xml:space="preserve">  PRIORITY 1 | CEMENT  </w:t>
      </w:r>
    </w:p>
    <w:p>
      <w:pPr>
        <w:pStyle w:val="ListBullet"/>
        <w:spacing w:before="20" w:after="20"/>
        <w:ind w:left="360"/>
      </w:pPr>
      <w:r>
        <w:rPr>
          <w:rFonts w:ascii="Calibri" w:hAnsi="Calibri"/>
          <w:b w:val="0"/>
          <w:i w:val="0"/>
          <w:color w:val="2C2C2C"/>
          <w:sz w:val="20"/>
          <w:u w:val="none"/>
        </w:rPr>
        <w:t>Supplies approximately 40% of NSW and ACT cement (Boral, December 2024); combustion flue gas at approximately 14–25% CO₂</w:t>
      </w:r>
    </w:p>
    <w:p>
      <w:pPr>
        <w:pStyle w:val="ListBullet"/>
        <w:spacing w:before="20" w:after="20"/>
        <w:ind w:left="360"/>
      </w:pPr>
      <w:r>
        <w:rPr>
          <w:rFonts w:ascii="Calibri" w:hAnsi="Calibri"/>
          <w:b w:val="0"/>
          <w:i w:val="0"/>
          <w:color w:val="2C2C2C"/>
          <w:sz w:val="20"/>
          <w:u w:val="none"/>
        </w:rPr>
        <w:t>Current CCS activity: a recarbonation-based CCS pilot plant operational at Berrima (different and complementary mechanism to ARK, not competing)</w:t>
      </w:r>
    </w:p>
    <w:p>
      <w:pPr>
        <w:pStyle w:val="ListBullet"/>
        <w:spacing w:before="20" w:after="20"/>
        <w:ind w:left="360"/>
      </w:pPr>
      <w:r>
        <w:rPr>
          <w:rFonts w:ascii="Calibri" w:hAnsi="Calibri"/>
          <w:b w:val="0"/>
          <w:i w:val="0"/>
          <w:color w:val="2C2C2C"/>
          <w:sz w:val="20"/>
          <w:u w:val="none"/>
        </w:rPr>
        <w:t>AUD $25.45M NSW State Government funding secured for alternative fuels transition (coal → alternative fuels, targeting 60% non-coal kiln energy within 3 years); smaller federal fund supports the recarbonation pilot</w:t>
      </w:r>
    </w:p>
    <w:p>
      <w:pPr>
        <w:pStyle w:val="ListBullet"/>
        <w:spacing w:before="20" w:after="20"/>
        <w:ind w:left="360"/>
      </w:pPr>
      <w:r>
        <w:rPr>
          <w:rFonts w:ascii="Calibri" w:hAnsi="Calibri"/>
          <w:b w:val="0"/>
          <w:i w:val="0"/>
          <w:color w:val="2C2C2C"/>
          <w:sz w:val="20"/>
          <w:u w:val="none"/>
        </w:rPr>
        <w:t>Note: an earlier AUD $30M federal Calix/LEILAC project at Berrima was under the CCUS Hubs and Technologies Programme, cancelled by the federal government in October 2022; that project did not proceed</w:t>
      </w:r>
    </w:p>
    <w:p>
      <w:pPr>
        <w:pStyle w:val="ListBullet"/>
        <w:spacing w:before="20" w:after="20"/>
        <w:ind w:left="360"/>
      </w:pPr>
      <w:r>
        <w:rPr>
          <w:rFonts w:ascii="Calibri" w:hAnsi="Calibri"/>
          <w:b w:val="0"/>
          <w:i w:val="0"/>
          <w:color w:val="2C2C2C"/>
          <w:sz w:val="20"/>
          <w:u w:val="none"/>
        </w:rPr>
        <w:t>CEO confirmed CCS is part of the company's long-term net-zero-by-2050 strategy alongside near-term fuel switching</w:t>
      </w:r>
    </w:p>
    <w:p>
      <w:pPr>
        <w:pStyle w:val="ListBullet"/>
        <w:spacing w:before="20" w:after="20"/>
        <w:ind w:left="360"/>
      </w:pPr>
      <w:r>
        <w:rPr>
          <w:rFonts w:ascii="Calibri" w:hAnsi="Calibri"/>
          <w:b w:val="0"/>
          <w:i w:val="0"/>
          <w:color w:val="2C2C2C"/>
          <w:sz w:val="20"/>
          <w:u w:val="none"/>
        </w:rPr>
        <w:t>GG Advisory recommendation: approach after ARK has established a Calix partnership</w:t>
      </w:r>
    </w:p>
    <w:p>
      <w:pPr>
        <w:spacing w:before="160" w:after="40"/>
        <w:jc w:val="left"/>
      </w:pPr>
      <w:r>
        <w:rPr>
          <w:rFonts w:ascii="Calibri" w:hAnsi="Calibri"/>
          <w:b/>
          <w:i w:val="0"/>
          <w:color w:val="2C2C2C"/>
          <w:sz w:val="21"/>
          <w:u w:val="none"/>
        </w:rPr>
        <w:t>Adbri / Cockburn Cement — Kwinana, WA</w:t>
      </w:r>
      <w:r>
        <w:t xml:space="preserve">  </w:t>
      </w:r>
      <w:r>
        <w:rPr>
          <w:rFonts w:ascii="Calibri" w:hAnsi="Calibri"/>
          <w:b/>
          <w:sz w:val="16"/>
          <w:shd w:val="clear" w:color="auto" w:fill="1B7A6B"/>
          <w:color w:val="FFFFFF"/>
        </w:rPr>
        <w:t xml:space="preserve">  PRIORITY 1 | CEMENT  </w:t>
      </w:r>
    </w:p>
    <w:p>
      <w:pPr>
        <w:pStyle w:val="ListBullet"/>
        <w:spacing w:before="20" w:after="20"/>
        <w:ind w:left="360"/>
      </w:pPr>
      <w:r>
        <w:rPr>
          <w:rFonts w:ascii="Calibri" w:hAnsi="Calibri"/>
          <w:b w:val="0"/>
          <w:i w:val="0"/>
          <w:color w:val="2C2C2C"/>
          <w:sz w:val="20"/>
          <w:u w:val="none"/>
        </w:rPr>
        <w:t>Majority-owned by CRH plc (acquisition completed 2024; Adbri delisted from ASX); Barro Group retains minority stake</w:t>
      </w:r>
    </w:p>
    <w:p>
      <w:pPr>
        <w:pStyle w:val="ListBullet"/>
        <w:spacing w:before="20" w:after="20"/>
        <w:ind w:left="360"/>
      </w:pPr>
      <w:r>
        <w:rPr>
          <w:rFonts w:ascii="Calibri" w:hAnsi="Calibri"/>
          <w:b w:val="0"/>
          <w:i w:val="0"/>
          <w:color w:val="2C2C2C"/>
          <w:sz w:val="20"/>
          <w:u w:val="none"/>
        </w:rPr>
        <w:t>Co-located with Kwinana Energy Recovery facility</w:t>
      </w:r>
    </w:p>
    <w:p>
      <w:pPr>
        <w:pStyle w:val="ListBullet"/>
        <w:spacing w:before="20" w:after="20"/>
        <w:ind w:left="360"/>
      </w:pPr>
      <w:r>
        <w:rPr>
          <w:rFonts w:ascii="Calibri" w:hAnsi="Calibri"/>
          <w:b w:val="0"/>
          <w:i w:val="0"/>
          <w:color w:val="2C2C2C"/>
          <w:sz w:val="20"/>
          <w:u w:val="none"/>
        </w:rPr>
        <w:t>Active LEILAC lime partnership: Calix awarded AUD $11M federal grant for a LEILAC low-emissions lime demonstration at Kwinana with Adbri (calcination CO₂); ARK would address combustion flue gas CO₂ remaining</w:t>
      </w:r>
    </w:p>
    <w:p>
      <w:pPr>
        <w:pStyle w:val="ListBullet"/>
        <w:spacing w:before="20" w:after="20"/>
        <w:ind w:left="360"/>
      </w:pPr>
      <w:r>
        <w:rPr>
          <w:rFonts w:ascii="Calibri" w:hAnsi="Calibri"/>
          <w:b w:val="0"/>
          <w:i w:val="0"/>
          <w:color w:val="2C2C2C"/>
          <w:sz w:val="20"/>
          <w:u w:val="none"/>
        </w:rPr>
        <w:t>Kwinana Upgrade Project: AUD $199M investment consolidating two cement sites; ~20% CO₂ reduction versus legacy operations; combustion emissions remain unaddressed</w:t>
      </w:r>
    </w:p>
    <w:p>
      <w:pPr>
        <w:spacing w:before="160" w:after="40"/>
        <w:jc w:val="left"/>
      </w:pPr>
      <w:r>
        <w:rPr>
          <w:rFonts w:ascii="Calibri" w:hAnsi="Calibri"/>
          <w:b/>
          <w:i w:val="0"/>
          <w:color w:val="2C2C2C"/>
          <w:sz w:val="21"/>
          <w:u w:val="none"/>
        </w:rPr>
        <w:t>Cement Australia — Gladstone, QLD</w:t>
      </w:r>
      <w:r>
        <w:t xml:space="preserve">  </w:t>
      </w:r>
      <w:r>
        <w:rPr>
          <w:rFonts w:ascii="Calibri" w:hAnsi="Calibri"/>
          <w:b/>
          <w:sz w:val="16"/>
          <w:shd w:val="clear" w:color="auto" w:fill="0D2D4A"/>
          <w:color w:val="FFFFFF"/>
        </w:rPr>
        <w:t xml:space="preserve">  PRIORITY 2 | CEMENT  </w:t>
      </w:r>
    </w:p>
    <w:p>
      <w:pPr>
        <w:pStyle w:val="ListBullet"/>
        <w:spacing w:before="20" w:after="20"/>
        <w:ind w:left="360"/>
      </w:pPr>
      <w:r>
        <w:rPr>
          <w:rFonts w:ascii="Calibri" w:hAnsi="Calibri"/>
          <w:b w:val="0"/>
          <w:i w:val="0"/>
          <w:color w:val="2C2C2C"/>
          <w:sz w:val="20"/>
          <w:u w:val="none"/>
        </w:rPr>
        <w:t>Joint venture of Holcim and Heidelberg Materials (Heidelberg holds indefinite global LEILAC licence)</w:t>
      </w:r>
    </w:p>
    <w:p>
      <w:pPr>
        <w:pStyle w:val="ListBullet"/>
        <w:spacing w:before="20" w:after="20"/>
        <w:ind w:left="360"/>
      </w:pPr>
      <w:r>
        <w:rPr>
          <w:rFonts w:ascii="Calibri" w:hAnsi="Calibri"/>
          <w:b w:val="0"/>
          <w:i w:val="0"/>
          <w:color w:val="2C2C2C"/>
          <w:sz w:val="20"/>
          <w:u w:val="none"/>
        </w:rPr>
        <w:t>Gladstone plant: MoU with Mitsubishi Gas Chemical Company (October 2022) to study green methanol production using captured CO₂ and green hydrogen (Carbopath™); Phase 1 — targeted AUD $150M first-stage plant, ~100,000 t/yr methanol — has a targeted Phase 1 commercial operation start of mid-2028 per Queensland Government; no Final Investment Decision confirmed publicly; treat as MoU/feasibility stage</w:t>
      </w:r>
    </w:p>
    <w:p>
      <w:pPr>
        <w:pStyle w:val="ListBullet"/>
        <w:spacing w:before="20" w:after="20"/>
        <w:ind w:left="360"/>
      </w:pPr>
      <w:r>
        <w:rPr>
          <w:rFonts w:ascii="Calibri" w:hAnsi="Calibri"/>
          <w:b w:val="0"/>
          <w:i w:val="0"/>
          <w:color w:val="2C2C2C"/>
          <w:sz w:val="20"/>
          <w:u w:val="none"/>
        </w:rPr>
        <w:t>ACCC approved Cement Australia's acquisition of BGC Cementitious in September 2025</w:t>
      </w:r>
    </w:p>
    <w:p>
      <w:pPr>
        <w:pStyle w:val="ListBullet"/>
        <w:spacing w:before="20" w:after="20"/>
        <w:ind w:left="360"/>
      </w:pPr>
      <w:r>
        <w:rPr>
          <w:rFonts w:ascii="Calibri" w:hAnsi="Calibri"/>
          <w:b w:val="0"/>
          <w:i w:val="0"/>
          <w:color w:val="2C2C2C"/>
          <w:sz w:val="20"/>
          <w:u w:val="none"/>
        </w:rPr>
        <w:t>GG Advisory recommendation: medium-term; combustion flue gas remains a potential ARK opportunity regardless of Gladstone methanol project outcome</w:t>
      </w:r>
    </w:p>
    <w:p>
      <w:pPr>
        <w:spacing w:before="160" w:after="40"/>
        <w:jc w:val="left"/>
      </w:pPr>
      <w:r>
        <w:rPr>
          <w:rFonts w:ascii="Calibri" w:hAnsi="Calibri"/>
          <w:b/>
          <w:i w:val="0"/>
          <w:color w:val="2C2C2C"/>
          <w:sz w:val="21"/>
          <w:u w:val="none"/>
        </w:rPr>
        <w:t>CSIRO</w:t>
      </w:r>
      <w:r>
        <w:t xml:space="preserve">  </w:t>
      </w:r>
      <w:r>
        <w:rPr>
          <w:rFonts w:ascii="Calibri" w:hAnsi="Calibri"/>
          <w:b/>
          <w:sz w:val="16"/>
          <w:shd w:val="clear" w:color="auto" w:fill="1B7A6B"/>
          <w:color w:val="FFFFFF"/>
        </w:rPr>
        <w:t xml:space="preserve">  GRANT PARTNER  </w:t>
      </w:r>
    </w:p>
    <w:p>
      <w:pPr>
        <w:pStyle w:val="ListBullet"/>
        <w:spacing w:before="20" w:after="20"/>
        <w:ind w:left="360"/>
      </w:pPr>
      <w:r>
        <w:rPr>
          <w:rFonts w:ascii="Calibri" w:hAnsi="Calibri"/>
          <w:b w:val="0"/>
          <w:i w:val="0"/>
          <w:color w:val="2C2C2C"/>
          <w:sz w:val="20"/>
          <w:u w:val="none"/>
        </w:rPr>
        <w:t>National science agency; ABN holder; eligible CCTP Round 2 lead applicant</w:t>
      </w:r>
    </w:p>
    <w:p>
      <w:pPr>
        <w:pStyle w:val="ListBullet"/>
        <w:spacing w:before="20" w:after="20"/>
        <w:ind w:left="360"/>
      </w:pPr>
      <w:r>
        <w:rPr>
          <w:rFonts w:ascii="Calibri" w:hAnsi="Calibri"/>
          <w:b w:val="0"/>
          <w:i w:val="0"/>
          <w:color w:val="2C2C2C"/>
          <w:sz w:val="20"/>
          <w:u w:val="none"/>
        </w:rPr>
        <w:t>Provides independent technology validation — critical for ARK's credibility with Australian buyers and grant panels</w:t>
      </w:r>
    </w:p>
    <w:p>
      <w:pPr>
        <w:pStyle w:val="ListBullet"/>
        <w:spacing w:before="20" w:after="20"/>
        <w:ind w:left="360"/>
      </w:pPr>
      <w:r>
        <w:rPr>
          <w:rFonts w:ascii="Calibri" w:hAnsi="Calibri"/>
          <w:b w:val="0"/>
          <w:i w:val="0"/>
          <w:color w:val="2C2C2C"/>
          <w:sz w:val="20"/>
          <w:u w:val="none"/>
        </w:rPr>
        <w:t>Recommended first contact: CSIRO Energy group (Newcastle)</w:t>
      </w:r>
    </w:p>
    <w:p>
      <w:pPr>
        <w:spacing w:before="160" w:after="40"/>
        <w:jc w:val="left"/>
      </w:pPr>
      <w:r>
        <w:rPr>
          <w:rFonts w:ascii="Calibri" w:hAnsi="Calibri"/>
          <w:b/>
          <w:i w:val="0"/>
          <w:color w:val="2C2C2C"/>
          <w:sz w:val="21"/>
          <w:u w:val="none"/>
        </w:rPr>
        <w:t>Calix Limited (ASX: CXL)</w:t>
      </w:r>
      <w:r>
        <w:t xml:space="preserve">  </w:t>
      </w:r>
      <w:r>
        <w:rPr>
          <w:rFonts w:ascii="Calibri" w:hAnsi="Calibri"/>
          <w:b/>
          <w:sz w:val="16"/>
          <w:shd w:val="clear" w:color="auto" w:fill="1B7A6B"/>
          <w:color w:val="FFFFFF"/>
        </w:rPr>
        <w:t xml:space="preserve">  STRATEGIC PARTNER  </w:t>
      </w:r>
    </w:p>
    <w:p>
      <w:pPr>
        <w:pStyle w:val="ListBullet"/>
        <w:spacing w:before="20" w:after="20"/>
        <w:ind w:left="360"/>
      </w:pPr>
      <w:r>
        <w:rPr>
          <w:rFonts w:ascii="Calibri" w:hAnsi="Calibri"/>
          <w:b w:val="0"/>
          <w:i w:val="0"/>
          <w:color w:val="2C2C2C"/>
          <w:sz w:val="20"/>
          <w:u w:val="none"/>
        </w:rPr>
        <w:t>Australian-listed company; Project ZETA pre-FEED completed 26 September 2025; now at FEED stage; AUD $15M CCTP Round 1 grant</w:t>
      </w:r>
    </w:p>
    <w:p>
      <w:pPr>
        <w:pStyle w:val="ListBullet"/>
        <w:spacing w:before="20" w:after="20"/>
        <w:ind w:left="360"/>
      </w:pPr>
      <w:r>
        <w:rPr>
          <w:rFonts w:ascii="Calibri" w:hAnsi="Calibri"/>
          <w:b w:val="0"/>
          <w:i w:val="0"/>
          <w:color w:val="2C2C2C"/>
          <w:sz w:val="20"/>
          <w:u w:val="none"/>
        </w:rPr>
        <w:t>Natural strategic partner: combined Calix (calcination CO₂) + ARK (combustion CO₂) covers whole-plant cement/lime decarbonisation — strongest possible CCTP Round 2 application</w:t>
      </w:r>
    </w:p>
    <w:p>
      <w:pPr>
        <w:spacing w:before="160" w:after="40"/>
        <w:jc w:val="left"/>
      </w:pPr>
      <w:r>
        <w:rPr>
          <w:rFonts w:ascii="Calibri" w:hAnsi="Calibri"/>
          <w:b/>
          <w:i w:val="0"/>
          <w:color w:val="2C2C2C"/>
          <w:sz w:val="21"/>
          <w:u w:val="none"/>
        </w:rPr>
        <w:t>HILT CRC</w:t>
      </w:r>
      <w:r>
        <w:t xml:space="preserve">  </w:t>
      </w:r>
      <w:r>
        <w:rPr>
          <w:rFonts w:ascii="Calibri" w:hAnsi="Calibri"/>
          <w:b/>
          <w:sz w:val="16"/>
          <w:shd w:val="clear" w:color="auto" w:fill="1B7A6B"/>
          <w:color w:val="FFFFFF"/>
        </w:rPr>
        <w:t xml:space="preserve">  GRANT PARTNER  </w:t>
      </w:r>
    </w:p>
    <w:p>
      <w:pPr>
        <w:pStyle w:val="ListBullet"/>
        <w:spacing w:before="20" w:after="20"/>
        <w:ind w:left="360"/>
      </w:pPr>
      <w:r>
        <w:rPr>
          <w:rFonts w:ascii="Calibri" w:hAnsi="Calibri"/>
          <w:b w:val="0"/>
          <w:i w:val="0"/>
          <w:color w:val="2C2C2C"/>
          <w:sz w:val="20"/>
          <w:u w:val="none"/>
        </w:rPr>
        <w:t>Heavy Industry Low-Carbon Transition CRC; members include Adbri, Calix, University of Adelaide</w:t>
      </w:r>
    </w:p>
    <w:p>
      <w:pPr>
        <w:pStyle w:val="ListBullet"/>
        <w:spacing w:before="20" w:after="20"/>
        <w:ind w:left="360"/>
      </w:pPr>
      <w:r>
        <w:rPr>
          <w:rFonts w:ascii="Calibri" w:hAnsi="Calibri"/>
          <w:b w:val="0"/>
          <w:i w:val="0"/>
          <w:color w:val="2C2C2C"/>
          <w:sz w:val="20"/>
          <w:u w:val="none"/>
        </w:rPr>
        <w:t>Provides industry network access and potential co-applicant status for grant applications</w:t>
      </w:r>
    </w:p>
    <w:p>
      <w:pPr>
        <w:spacing w:before="160" w:after="40"/>
        <w:jc w:val="left"/>
      </w:pPr>
      <w:r>
        <w:rPr>
          <w:rFonts w:ascii="Calibri" w:hAnsi="Calibri"/>
          <w:b/>
          <w:i w:val="0"/>
          <w:color w:val="2C2C2C"/>
          <w:sz w:val="21"/>
          <w:u w:val="none"/>
        </w:rPr>
        <w:t>Wilmar Sugar / MSF Sugar — Queensland</w:t>
      </w:r>
      <w:r>
        <w:t xml:space="preserve">  </w:t>
      </w:r>
      <w:r>
        <w:rPr>
          <w:rFonts w:ascii="Calibri" w:hAnsi="Calibri"/>
          <w:b/>
          <w:sz w:val="16"/>
          <w:shd w:val="clear" w:color="auto" w:fill="888888"/>
          <w:color w:val="FFFFFF"/>
        </w:rPr>
        <w:t xml:space="preserve">  PRIORITY 3 | BIOMASS  </w:t>
      </w:r>
    </w:p>
    <w:p>
      <w:pPr>
        <w:pStyle w:val="ListBullet"/>
        <w:spacing w:before="20" w:after="20"/>
        <w:ind w:left="360"/>
      </w:pPr>
      <w:r>
        <w:rPr>
          <w:rFonts w:ascii="Calibri" w:hAnsi="Calibri"/>
          <w:b w:val="0"/>
          <w:i w:val="0"/>
          <w:color w:val="2C2C2C"/>
          <w:sz w:val="20"/>
          <w:u w:val="none"/>
        </w:rPr>
        <w:t>Operate bagasse co-generation mills producing approximately 10–14% CO₂ flue gas</w:t>
      </w:r>
    </w:p>
    <w:p>
      <w:pPr>
        <w:pStyle w:val="ListBullet"/>
        <w:spacing w:before="20" w:after="20"/>
        <w:ind w:left="360"/>
      </w:pPr>
      <w:r>
        <w:rPr>
          <w:rFonts w:ascii="Calibri" w:hAnsi="Calibri"/>
          <w:b w:val="0"/>
          <w:i w:val="0"/>
          <w:color w:val="2C2C2C"/>
          <w:sz w:val="20"/>
          <w:u w:val="none"/>
        </w:rPr>
        <w:t>GG Advisory recommendation: viable ARK target after an Australian reference project is established — do not engage before ARK pilot results available</w:t>
      </w:r>
    </w:p>
    <w:p>
      <w:pPr>
        <w:spacing w:before="200" w:after="80"/>
        <w:ind w:left="216"/>
        <w:pBdr>
          <w:left w:val="single" w:sz="18" w:space="6" w:color="1B7A6B"/>
        </w:pBdr>
      </w:pPr>
      <w:r>
        <w:rPr>
          <w:rFonts w:ascii="Calibri" w:hAnsi="Calibri"/>
          <w:b/>
          <w:i w:val="0"/>
          <w:color w:val="1B7A6B"/>
          <w:sz w:val="21"/>
          <w:u w:val="none"/>
        </w:rPr>
        <w:t>Updates This Month</w:t>
      </w:r>
    </w:p>
    <w:p>
      <w:pPr>
        <w:spacing w:before="200" w:after="40"/>
        <w:jc w:val="left"/>
      </w:pPr>
      <w:r>
        <w:rPr>
          <w:rFonts w:ascii="Calibri" w:hAnsi="Calibri"/>
          <w:b/>
          <w:i w:val="0"/>
          <w:color w:val="2C2C2C"/>
          <w:sz w:val="22"/>
          <w:u w:val="none"/>
        </w:rPr>
        <w:t>News - Investor Group on Climate Change</w:t>
      </w:r>
    </w:p>
    <w:p>
      <w:pPr>
        <w:spacing w:before="0" w:after="40"/>
        <w:jc w:val="left"/>
      </w:pPr>
      <w:r>
        <w:rPr>
          <w:rFonts w:ascii="Calibri" w:hAnsi="Calibri"/>
          <w:b/>
          <w:i w:val="0"/>
          <w:color w:val="555555"/>
          <w:sz w:val="20"/>
          <w:u w:val="none"/>
        </w:rPr>
        <w:t xml:space="preserve">Published:  </w:t>
      </w:r>
      <w:r>
        <w:rPr>
          <w:rFonts w:ascii="Calibri" w:hAnsi="Calibri"/>
          <w:b w:val="0"/>
          <w:i/>
          <w:color w:val="555555"/>
          <w:sz w:val="20"/>
          <w:u w:val="none"/>
        </w:rPr>
        <w:t>31 March 2026</w:t>
      </w:r>
    </w:p>
    <w:p>
      <w:pPr>
        <w:spacing w:before="40" w:after="60"/>
        <w:jc w:val="left"/>
      </w:pPr>
      <w:r>
        <w:rPr>
          <w:rFonts w:ascii="Calibri" w:hAnsi="Calibri"/>
          <w:b/>
          <w:i w:val="0"/>
          <w:color w:val="2C2C2C"/>
          <w:sz w:val="21"/>
          <w:u w:val="none"/>
        </w:rPr>
        <w:t xml:space="preserve">Summary:  </w:t>
      </w:r>
      <w:r>
        <w:rPr>
          <w:rFonts w:ascii="Calibri" w:hAnsi="Calibri"/>
          <w:b w:val="0"/>
          <w:i w:val="0"/>
          <w:color w:val="2C2C2C"/>
          <w:sz w:val="21"/>
          <w:u w:val="none"/>
        </w:rPr>
        <w:t>Skip to content Main Navigation Menu News Media releases and updates for members and our broader community. News Media releases and updates for members and our broader community. 31 March 2026 Mobilising capital for clean energy, industry and climate resilience. 13 March 2026 This newly created role will be responsible for implementing IGCC’s Asia Pacific methane initiative with the execution of high-priority projects and engagements focused on methane. 19 February 2026 The Investor Group on Climate Change (IGCC) has released its Strategy to 2030. It sets out how we will help accelerate progress toward a climate-resilient economy that is on track, by 2030, for net zero emissions in 2050. 19 February 2026 In 2025, IGCC represented institutional investors with more than $4.6 trillion under local management on behalf of more than 15.8 million Australians and millions more New Zealanders. 10 February 2026 RIAA and IGCC welcome the Government’s focus on…</w:t>
      </w:r>
    </w:p>
    <w:p>
      <w:pPr>
        <w:spacing w:before="40" w:after="120"/>
        <w:jc w:val="left"/>
      </w:pPr>
      <w:r>
        <w:rPr>
          <w:rFonts w:ascii="Calibri" w:hAnsi="Calibri"/>
          <w:b/>
          <w:i w:val="0"/>
          <w:color w:val="555555"/>
          <w:sz w:val="20"/>
          <w:u w:val="none"/>
        </w:rPr>
        <w:t xml:space="preserve">Source:  </w:t>
      </w:r>
      <w:hyperlink r:id="rId11" w:history="1">
        <w:r>
          <w:rPr>
            <w:color w:val="005EA2"/>
            <w:sz w:val="20"/>
            <w:szCs w:val="20"/>
          </w:rPr>
          <w:t>https://igcc.org.au/news/</w:t>
        </w:r>
      </w:hyperlink>
    </w:p>
    <w:p>
      <w:pPr>
        <w:spacing w:before="200" w:after="80"/>
        <w:ind w:left="216"/>
        <w:pBdr>
          <w:left w:val="single" w:sz="18" w:space="6" w:color="1B7A6B"/>
        </w:pBdr>
      </w:pPr>
      <w:r>
        <w:rPr>
          <w:rFonts w:ascii="Calibri" w:hAnsi="Calibri"/>
          <w:b/>
          <w:i w:val="0"/>
          <w:color w:val="1B7A6B"/>
          <w:sz w:val="21"/>
          <w:u w:val="none"/>
        </w:rPr>
        <w:t>Changes Since Last Issue</w:t>
      </w:r>
    </w:p>
    <w:p>
      <w:pPr>
        <w:spacing w:before="80" w:after="80"/>
        <w:ind w:left="216" w:right="216"/>
        <w:shd w:val="clear" w:color="auto" w:fill="D6EDE9"/>
      </w:pPr>
      <w:r>
        <w:rPr>
          <w:rFonts w:ascii="Calibri" w:hAnsi="Calibri"/>
          <w:b w:val="0"/>
          <w:i/>
          <w:color w:val="2C2C2C"/>
          <w:sz w:val="20"/>
          <w:u w:val="none"/>
        </w:rPr>
        <w:t>— Inaugural issue. Changes section will be populated from the second issue onwards. —</w:t>
      </w:r>
    </w:p>
    <w:p>
      <w:pPr>
        <w:spacing w:before="20" w:after="20"/>
        <w:pBdr>
          <w:bottom w:val="single" w:sz="6" w:space="1" w:color="1B7A6B"/>
        </w:pBdr>
      </w:pPr>
    </w:p>
    <w:p>
      <w:pPr>
        <w:spacing w:before="200" w:after="0"/>
        <w:jc w:val="left"/>
      </w:pPr>
    </w:p>
    <w:p>
      <w:pPr>
        <w:spacing w:before="20" w:after="20"/>
        <w:pBdr>
          <w:bottom w:val="single" w:sz="6" w:space="1" w:color="AAAAAA"/>
        </w:pBdr>
      </w:pPr>
    </w:p>
    <w:p>
      <w:pPr>
        <w:spacing w:before="80" w:after="40"/>
        <w:jc w:val="left"/>
      </w:pPr>
      <w:r>
        <w:rPr>
          <w:rFonts w:ascii="Calibri" w:hAnsi="Calibri"/>
          <w:b w:val="0"/>
          <w:i/>
          <w:color w:val="888888"/>
          <w:sz w:val="17"/>
          <w:u w:val="none"/>
        </w:rPr>
        <w:t>© GG Advisory  |  gg-advisory.org  |  This brief is prepared exclusively for ARK Capture Solutions. Confidential — not for redistribution.</w:t>
      </w:r>
    </w:p>
    <w:p>
      <w:pPr>
        <w:spacing w:before="0" w:after="0"/>
        <w:jc w:val="left"/>
      </w:pPr>
      <w:r>
        <w:rPr>
          <w:rFonts w:ascii="Calibri" w:hAnsi="Calibri"/>
          <w:b w:val="0"/>
          <w:i w:val="0"/>
          <w:color w:val="888888"/>
          <w:sz w:val="17"/>
          <w:u w:val="none"/>
        </w:rPr>
        <w:t>Generated: 02 April 2026</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sgtoday.com/toyota-plans-to-join-volvo-daimler-in-hydrogen-fuel-cell-jv/" TargetMode="External"/><Relationship Id="rId10" Type="http://schemas.openxmlformats.org/officeDocument/2006/relationships/hyperlink" Target="https://www.esgtoday.com/u-s-doe-partners-with-amazon-on-solutions-to-recover-critical-materials-from-textile-tech-waste/" TargetMode="External"/><Relationship Id="rId11" Type="http://schemas.openxmlformats.org/officeDocument/2006/relationships/hyperlink" Target="https://igcc.org.au/n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