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color w:val="6B7280"/>
          <w:sz w:val="20"/>
          <w:u w:val="none"/>
        </w:rPr>
        <w:t>GG Advisory  |  Cleantech &amp; Start-up Ecosystem</w:t>
      </w:r>
    </w:p>
    <w:p>
      <w:pPr>
        <w:spacing w:before="0" w:after="80"/>
      </w:pPr>
      <w:r>
        <w:rPr>
          <w:rFonts w:ascii="Calibri" w:hAnsi="Calibri"/>
          <w:b/>
          <w:i w:val="0"/>
          <w:color w:val="684D12"/>
          <w:sz w:val="44"/>
          <w:u w:val="none"/>
        </w:rPr>
        <w:t>Grants &amp; Accelerators Radar — June 2026</w:t>
      </w:r>
    </w:p>
    <w:p>
      <w:pPr>
        <w:spacing w:before="0" w:after="120"/>
      </w:pPr>
      <w:r>
        <w:rPr>
          <w:rFonts w:ascii="Calibri" w:hAnsi="Calibri"/>
          <w:b w:val="0"/>
          <w:i/>
          <w:color w:val="6B7280"/>
          <w:sz w:val="22"/>
          <w:u w:val="none"/>
        </w:rPr>
        <w:t>A curated overview of active grants, accelerators, and investment programs available to Australian climate-tech founders and investors. Entries are grouped by urgency and updated each month.</w:t>
      </w:r>
    </w:p>
    <w:p>
      <w:pPr>
        <w:spacing w:before="40" w:after="280"/>
        <w:pBdr>
          <w:bottom w:val="single" w:sz="12" w:space="1" w:color="1B7A6B"/>
        </w:pBdr>
      </w:pPr>
    </w:p>
    <w:p>
      <w:pPr>
        <w:spacing w:before="400" w:after="120"/>
        <w:pBdr>
          <w:bottom w:val="single" w:sz="6" w:space="1" w:color="AAAAAA"/>
        </w:pBdr>
      </w:pPr>
    </w:p>
    <w:p>
      <w:pPr>
        <w:pStyle w:val="Heading2"/>
        <w:spacing w:before="0" w:after="160"/>
      </w:pPr>
      <w:r>
        <w:rPr>
          <w:rFonts w:ascii="Calibri" w:hAnsi="Calibri"/>
          <w:b/>
          <w:i w:val="0"/>
          <w:color w:val="684D12"/>
          <w:sz w:val="28"/>
          <w:u w:val="none"/>
        </w:rPr>
        <w:t>🇦🇺  NATIONAL PROGRAMS — OPEN ON A ROLLING BASIS</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Australia's Economic Accelerator (AEA) — Ignite &amp; Innovate</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Ignite: up to $500,000 (12 months); Innovate: up to $5,000,000 (proof-of-scale)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rounds — monitor aea.gov.au for next opening</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University research teams with industry co-applicant (Ignite: proof-of-concept; Innovate: proof-of-scale)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Education / Australian Government</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Round 2 details and opening dates are published on aea.gov.au. The $1.6B envelope means multiple rounds are expected across 2026–2030.</w:t>
      </w:r>
    </w:p>
    <w:p>
      <w:pPr>
        <w:pStyle w:val="ListBullet"/>
        <w:spacing w:before="0" w:after="60"/>
      </w:pPr>
      <w:r>
        <w:rPr>
          <w:rFonts w:ascii="Calibri" w:hAnsi="Calibri"/>
          <w:b/>
          <w:i w:val="0"/>
          <w:color w:val="6B7280"/>
          <w:sz w:val="21"/>
          <w:u w:val="none"/>
        </w:rPr>
        <w:t xml:space="preserve">Source:  </w:t>
      </w:r>
      <w:hyperlink r:id="rId9" w:history="1">
        <w:r>
          <w:rPr>
            <w:rStyle w:val="Hyperlink"/>
            <w:color w:val="005EA2"/>
            <w:sz w:val="21"/>
            <w:szCs w:val="21"/>
          </w:rPr>
          <w:t>https://www.aea.gov.au/researcher-applicant/grants</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ARENA Advancing Renewables Program</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Flexible, no fixed cap per project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Always open</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Development, demonstration, pre-commercial deployment (TRL 4+)</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Covers the widest range of clean energy technologies of any national program. Suitable for companies with working prototypes ready for demonstration at scale.</w:t>
      </w:r>
    </w:p>
    <w:p>
      <w:pPr>
        <w:pStyle w:val="ListBullet"/>
        <w:spacing w:before="0" w:after="60"/>
      </w:pPr>
      <w:r>
        <w:rPr>
          <w:rFonts w:ascii="Calibri" w:hAnsi="Calibri"/>
          <w:b/>
          <w:i w:val="0"/>
          <w:color w:val="6B7280"/>
          <w:sz w:val="21"/>
          <w:u w:val="none"/>
        </w:rPr>
        <w:t xml:space="preserve">Source:  </w:t>
      </w:r>
      <w:hyperlink r:id="rId10" w:history="1">
        <w:r>
          <w:rPr>
            <w:rStyle w:val="Hyperlink"/>
            <w:color w:val="005EA2"/>
            <w:sz w:val="21"/>
            <w:szCs w:val="21"/>
          </w:rPr>
          <w:t>https://arena.gov.au/funding/advancing-renewables-program/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Future Made in Australia (FMIA) Innovation Fund — ARENA</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 billion total pool; no per-project maximum (min 50% co-contribution)</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no fixed close date (launched December 2025)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Demonstration to commercialisation (TRL 3+)</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largest single cleantech manufacturing opportunity in Australia's history. ARENA encourages early engagement before submitting an EOI — contact their team first.</w:t>
      </w:r>
    </w:p>
    <w:p>
      <w:pPr>
        <w:pStyle w:val="ListBullet"/>
        <w:spacing w:before="0" w:after="60"/>
      </w:pPr>
      <w:r>
        <w:rPr>
          <w:rFonts w:ascii="Calibri" w:hAnsi="Calibri"/>
          <w:b/>
          <w:i w:val="0"/>
          <w:color w:val="6B7280"/>
          <w:sz w:val="21"/>
          <w:u w:val="none"/>
        </w:rPr>
        <w:t xml:space="preserve">Source:  </w:t>
      </w:r>
      <w:hyperlink r:id="rId11" w:history="1">
        <w:r>
          <w:rPr>
            <w:rStyle w:val="Hyperlink"/>
            <w:color w:val="005EA2"/>
            <w:sz w:val="21"/>
            <w:szCs w:val="21"/>
          </w:rPr>
          <w:t>https://arena.gov.au/funding/future-made-in-australia-innovation-fund/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Brinc / Artesian Clean Energy Accelerator</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$150,000 cash + $110,000 program support in exchange for equity ($30K participation fee deducted from investment)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applications accepted year-round</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Commercialisation-ready; validated product; min. 2 co-founders; Australian incorporated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Brinc + Artesian Venture Partners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few cleantech-exclusive accelerators in Australia with a rolling application process and clear follow-on capital pathway via Artesian. The online format removes geography barriers.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Artesian's Clean Energy Seed Fund can follow with $200K–$2M. Artesian is also active in CEFC-backed co-investment mandates, providing access to further institutional capital.</w:t>
      </w:r>
    </w:p>
    <w:p>
      <w:pPr>
        <w:pStyle w:val="ListBullet"/>
        <w:spacing w:before="0" w:after="60"/>
      </w:pPr>
      <w:r>
        <w:rPr>
          <w:rFonts w:ascii="Calibri" w:hAnsi="Calibri"/>
          <w:b/>
          <w:i w:val="0"/>
          <w:color w:val="6B7280"/>
          <w:sz w:val="21"/>
          <w:u w:val="none"/>
        </w:rPr>
        <w:t xml:space="preserve">Source:  </w:t>
      </w:r>
      <w:hyperlink r:id="rId12" w:history="1">
        <w:r>
          <w:rPr>
            <w:rStyle w:val="Hyperlink"/>
            <w:color w:val="005EA2"/>
            <w:sz w:val="21"/>
            <w:szCs w:val="21"/>
          </w:rPr>
          <w:t>https://www.brinc.io/programs/accelerators/australia-cleantech-accelerator-program/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CEFC / Virescent Ventures Fund 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$150M+ fund; invests pre-seed to late stage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Virescent Ventures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late stage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Clean Energy Finance Corporation (CEFC) via Virescent Ventures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startups that have cleared product-market fit and are ready for institutional equity, this is the most relevant Australian climate-tech fund currently deploying capital.</w:t>
      </w:r>
    </w:p>
    <w:p>
      <w:pPr>
        <w:pStyle w:val="ListBullet"/>
        <w:spacing w:before="0" w:after="60"/>
      </w:pPr>
      <w:r>
        <w:rPr>
          <w:rFonts w:ascii="Calibri" w:hAnsi="Calibri"/>
          <w:b/>
          <w:i w:val="0"/>
          <w:color w:val="6B7280"/>
          <w:sz w:val="21"/>
          <w:u w:val="none"/>
        </w:rPr>
        <w:t xml:space="preserve">Source:  </w:t>
      </w:r>
      <w:hyperlink r:id="rId13" w:history="1">
        <w:r>
          <w:rPr>
            <w:rStyle w:val="Hyperlink"/>
            <w:color w:val="005EA2"/>
            <w:sz w:val="21"/>
            <w:szCs w:val="21"/>
          </w:rPr>
          <w:t>https://www.virescent.vc/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CSIRO ON Accelerate — Cohort 12</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$80,000 cash per team (non-dilutive); program valued at $150K+</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~Mid-2026 (subscribe: on@csiro.au)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research-driven ventures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CSIRO</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prestigious non-dilutive pathway for early-stage deep-tech founders in Australia. Subscribe to on@csiro.au for early notification when Cohort 12 opens.</w:t>
      </w:r>
    </w:p>
    <w:p>
      <w:pPr>
        <w:pStyle w:val="ListBullet"/>
        <w:spacing w:before="0" w:after="60"/>
      </w:pPr>
      <w:r>
        <w:rPr>
          <w:rFonts w:ascii="Calibri" w:hAnsi="Calibri"/>
          <w:b/>
          <w:i w:val="0"/>
          <w:color w:val="6B7280"/>
          <w:sz w:val="21"/>
          <w:u w:val="none"/>
        </w:rPr>
        <w:t xml:space="preserve">Source:  </w:t>
      </w:r>
      <w:hyperlink r:id="rId14" w:history="1">
        <w:r>
          <w:rPr>
            <w:rStyle w:val="Hyperlink"/>
            <w:color w:val="005EA2"/>
            <w:sz w:val="21"/>
            <w:szCs w:val="21"/>
          </w:rPr>
          <w:t>https://www.csiro.au/en/work-with-us/funding-programs/innovation-programs/on-accelerate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EnergyLab Scaleup Program 2026</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Non-dilutive; structured 3-module program</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Open now — program runs June–October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Scale-up; startups ready to deploy technology commercially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EnergyLab</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An ideal companion to the Climate Solutions Accelerator for later-stage founders. Non-dilutive and free to apply — the AllEnergy showcase provides direct access to energy sector buyers.</w:t>
      </w:r>
    </w:p>
    <w:p>
      <w:pPr>
        <w:pStyle w:val="ListBullet"/>
        <w:spacing w:before="0" w:after="60"/>
      </w:pPr>
      <w:r>
        <w:rPr>
          <w:rFonts w:ascii="Calibri" w:hAnsi="Calibri"/>
          <w:b/>
          <w:i w:val="0"/>
          <w:color w:val="6B7280"/>
          <w:sz w:val="21"/>
          <w:u w:val="none"/>
        </w:rPr>
        <w:t xml:space="preserve">Source:  </w:t>
      </w:r>
      <w:hyperlink r:id="rId15" w:history="1">
        <w:r>
          <w:rPr>
            <w:rStyle w:val="Hyperlink"/>
            <w:color w:val="005EA2"/>
            <w:sz w:val="21"/>
            <w:szCs w:val="21"/>
          </w:rPr>
          <w:t>https://energylab.org.au/programs/scaleup/</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Hydrogen Headstart — Round 2</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$2 billion total (Headstart Production Credits, per-kg revenue support over 10 years)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EOI open — see arena.gov.au for key dates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Greenfield to commercial scale; renewable hydrogen and derivatives (ammonia, methanol, green metals)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Hydrogen Production Tax Incentive ($2/kg refundable tax offset from 1 July 2027) is designed to complement Headstart, bridging the revenue gap until market prices reach parity.</w:t>
      </w:r>
    </w:p>
    <w:p>
      <w:pPr>
        <w:pStyle w:val="ListBullet"/>
        <w:spacing w:before="0" w:after="60"/>
      </w:pPr>
      <w:r>
        <w:rPr>
          <w:rFonts w:ascii="Calibri" w:hAnsi="Calibri"/>
          <w:b/>
          <w:i w:val="0"/>
          <w:color w:val="6B7280"/>
          <w:sz w:val="21"/>
          <w:u w:val="none"/>
        </w:rPr>
        <w:t xml:space="preserve">Source:  </w:t>
      </w:r>
      <w:hyperlink r:id="rId16" w:history="1">
        <w:r>
          <w:rPr>
            <w:rStyle w:val="Hyperlink"/>
            <w:color w:val="005EA2"/>
            <w:sz w:val="21"/>
            <w:szCs w:val="21"/>
          </w:rPr>
          <w:t>https://arena.gov.au/funding/hydrogen-headstart-round2/</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Industry Growth Program (IGP)</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$50,000–$5.25M matched grants (two tiers)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~90% of initial pool projected spent by June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Early-stage commercialisation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Industry, Science and Resources / business.gov.au</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only national programs directly supporting cleantech SMEs at early stage. Apply urgently — the pool is depleting. The NRF Net Zero Fund (concessional debt/equity, $3B+) is expected to open mid-2026 as a growth-stage complement.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NRF Net Zero Fund expected to open mid-2026 for larger growth-stage capital needs.</w:t>
      </w:r>
    </w:p>
    <w:p>
      <w:pPr>
        <w:pStyle w:val="ListBullet"/>
        <w:spacing w:before="0" w:after="60"/>
      </w:pPr>
      <w:r>
        <w:rPr>
          <w:rFonts w:ascii="Calibri" w:hAnsi="Calibri"/>
          <w:b/>
          <w:i w:val="0"/>
          <w:color w:val="6B7280"/>
          <w:sz w:val="21"/>
          <w:u w:val="none"/>
        </w:rPr>
        <w:t xml:space="preserve">Source:  </w:t>
      </w:r>
      <w:hyperlink r:id="rId17" w:history="1">
        <w:r>
          <w:rPr>
            <w:rStyle w:val="Hyperlink"/>
            <w:color w:val="005EA2"/>
            <w:sz w:val="21"/>
            <w:szCs w:val="21"/>
          </w:rPr>
          <w:t>https://business.gov.au/grants-and-programs/industry-growth-program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Main Sequence Ventures — Fund III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A$450M fund (A$1B under management total); invests seed to Series B in deeptech</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Main Sequence via mseq.vc</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Seed to Series B; research-driven deeptech with clear decarbonisation or industrial transformation thesis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Main Sequence Ventures (MSEQ)</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MSEQ is the largest LP in CSIRO's A$150M commitment through Australia's Economic Accelerator (AEA). Startups coming through AEA Ignite/Innovate have a natural pathway to MSEQ consideration.</w:t>
      </w:r>
    </w:p>
    <w:p>
      <w:pPr>
        <w:pStyle w:val="ListBullet"/>
        <w:spacing w:before="0" w:after="60"/>
      </w:pPr>
      <w:r>
        <w:rPr>
          <w:rFonts w:ascii="Calibri" w:hAnsi="Calibri"/>
          <w:b/>
          <w:i w:val="0"/>
          <w:color w:val="6B7280"/>
          <w:sz w:val="21"/>
          <w:u w:val="none"/>
        </w:rPr>
        <w:t xml:space="preserve">Source:  </w:t>
      </w:r>
      <w:hyperlink r:id="rId18" w:history="1">
        <w:r>
          <w:rPr>
            <w:rStyle w:val="Hyperlink"/>
            <w:color w:val="005EA2"/>
            <w:sz w:val="21"/>
            <w:szCs w:val="21"/>
          </w:rPr>
          <w:t>https://www.mseq.vc/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National Reconstruction Fund — Net Zero Fund</w:t>
      </w:r>
    </w:p>
    <w:p>
      <w:pPr>
        <w:spacing w:before="40" w:after="120"/>
      </w:pPr>
      <w:r>
        <w:rPr>
          <w:rFonts w:ascii="Calibri" w:hAnsi="Calibri"/>
          <w:b/>
          <w:i/>
          <w:color w:val="6B7280"/>
          <w:sz w:val="20"/>
          <w:u w:val="none"/>
        </w:rPr>
        <w:t>Debt + Equity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 billion (concessional debt, equity, and guarantees; target return: 5-yr bond rate minus 1%)</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Implementation expected mid-2026 — monitor nrf.gov.au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Growth to industrial scale; large-scale industrial decarbonisation and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NRF Corporation (NRFC) / Department of Industry, Science and Resources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NRFC general portfolio (NRF priority areas, commercial terms) is already open. The Net Zero sub-fund will layer on additional concessionality from mid-2026. Register interest at nrf.gov.au.</w:t>
      </w:r>
    </w:p>
    <w:p>
      <w:pPr>
        <w:pStyle w:val="ListBullet"/>
        <w:spacing w:before="0" w:after="60"/>
      </w:pPr>
      <w:r>
        <w:rPr>
          <w:rFonts w:ascii="Calibri" w:hAnsi="Calibri"/>
          <w:b/>
          <w:i w:val="0"/>
          <w:color w:val="6B7280"/>
          <w:sz w:val="21"/>
          <w:u w:val="none"/>
        </w:rPr>
        <w:t xml:space="preserve">Source:  </w:t>
      </w:r>
      <w:hyperlink r:id="rId19" w:history="1">
        <w:r>
          <w:rPr>
            <w:rStyle w:val="Hyperlink"/>
            <w:color w:val="005EA2"/>
            <w:sz w:val="21"/>
            <w:szCs w:val="21"/>
          </w:rPr>
          <w:t>https://www.nrf.gov.au/</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R&amp;D Tax Incentive (R&amp;DTI)</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43.5% refundable tax offset (SMEs, turnover &lt; $20M); 38.5%+ non-refundable (larger companies)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Register within 10 months of financial year end (e.g. 30 April 2026 for FY25)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Any incorporated Australian company conducting eligible R&amp;D activities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ATO + Department of Industry, Science and Resources (DISR)</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Consult an R&amp;D tax specialist before lodging — the ATO audits R&amp;D claims closely and requires contemporaneous records of technical uncertainty, hypothesis, experiments, and outcomes.</w:t>
      </w:r>
    </w:p>
    <w:p>
      <w:pPr>
        <w:pStyle w:val="ListBullet"/>
        <w:spacing w:before="0" w:after="60"/>
      </w:pPr>
      <w:r>
        <w:rPr>
          <w:rFonts w:ascii="Calibri" w:hAnsi="Calibri"/>
          <w:b/>
          <w:i w:val="0"/>
          <w:color w:val="6B7280"/>
          <w:sz w:val="21"/>
          <w:u w:val="none"/>
        </w:rPr>
        <w:t xml:space="preserve">Source:  </w:t>
      </w:r>
      <w:hyperlink r:id="rId20" w:history="1">
        <w:r>
          <w:rPr>
            <w:rStyle w:val="Hyperlink"/>
            <w:color w:val="005EA2"/>
            <w:sz w:val="21"/>
            <w:szCs w:val="21"/>
          </w:rPr>
          <w:t>https://business.gov.au/grants-and-programs/research-and-development-tax-incentive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Startmate Accelerator — Winter 2026</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$120,000 AUD equity investment (post-money valuation: $1.5M for first-time raisers)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Winter cohort applications expected ~June–July 2026 (program Aug–Nov)</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seed; idea-stage to early traction (67% of cohort pre-revenue)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Startmate</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highest-profile generalist accelerator in Australia with a strong climate-tech track record. Strong network effects: the Startmate community of founders, operators, and investors is one of Australia's most active and supportive.</w:t>
      </w:r>
    </w:p>
    <w:p>
      <w:pPr>
        <w:pStyle w:val="ListBullet"/>
        <w:spacing w:before="0" w:after="60"/>
      </w:pPr>
      <w:r>
        <w:rPr>
          <w:rFonts w:ascii="Calibri" w:hAnsi="Calibri"/>
          <w:b/>
          <w:i w:val="0"/>
          <w:color w:val="6B7280"/>
          <w:sz w:val="21"/>
          <w:u w:val="none"/>
        </w:rPr>
        <w:t xml:space="preserve">Source:  </w:t>
      </w:r>
      <w:hyperlink r:id="rId21" w:history="1">
        <w:r>
          <w:rPr>
            <w:rStyle w:val="Hyperlink"/>
            <w:color w:val="005EA2"/>
            <w:sz w:val="21"/>
            <w:szCs w:val="21"/>
          </w:rPr>
          <w:t>https://www.startmate.com/accelerator/program</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7A5604"/>
          <w:sz w:val="28"/>
          <w:u w:val="none"/>
        </w:rPr>
        <w:t>📍  STATE &amp; TERRITORY PROGRAMS</w:t>
      </w:r>
    </w:p>
    <w:p>
      <w:pPr>
        <w:spacing w:before="280" w:after="80"/>
      </w:pPr>
      <w:r>
        <w:rPr>
          <w:rFonts w:ascii="Calibri" w:hAnsi="Calibri"/>
          <w:b/>
          <w:i/>
          <w:color w:val="7A5604"/>
          <w:sz w:val="22"/>
          <w:u w:val="none"/>
        </w:rPr>
        <w:t>── ACT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ACT: Energy Innovation Fund</w:t>
      </w:r>
    </w:p>
    <w:p>
      <w:pPr>
        <w:spacing w:before="40" w:after="120"/>
      </w:pPr>
      <w:r>
        <w:rPr>
          <w:rFonts w:ascii="Calibri" w:hAnsi="Calibri"/>
          <w:b/>
          <w:i/>
          <w:color w:val="6B7280"/>
          <w:sz w:val="20"/>
          <w:u w:val="none"/>
        </w:rPr>
        <w:t>Grant  ·  ACT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Technology Demo: up to $10M pool, grants vary; Policy Challenge: $3.75M pool; Innovation Ecosystem: $3.25M pool</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Technology Demo stream: open year-round, assessed quarterly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Businesses, research institutions, and non-profits; energy transition innovation in the ACT</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ACT Government — Environment, Planning and Sustainable Development Directorate (EPSDD)</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ACT's primary grant channel for early-stage energy innovation, particularly valuable for startups seeking a smaller pilot-scale test market before national rollout. The quarterly rolling assessment means no fixed deadline pressure.</w:t>
      </w:r>
    </w:p>
    <w:p>
      <w:pPr>
        <w:pStyle w:val="ListBullet"/>
        <w:spacing w:before="0" w:after="60"/>
      </w:pPr>
      <w:r>
        <w:rPr>
          <w:rFonts w:ascii="Calibri" w:hAnsi="Calibri"/>
          <w:b/>
          <w:i w:val="0"/>
          <w:color w:val="6B7280"/>
          <w:sz w:val="21"/>
          <w:u w:val="none"/>
        </w:rPr>
        <w:t xml:space="preserve">Source:  </w:t>
      </w:r>
      <w:hyperlink r:id="rId22" w:history="1">
        <w:r>
          <w:rPr>
            <w:rStyle w:val="Hyperlink"/>
            <w:color w:val="005EA2"/>
            <w:sz w:val="21"/>
            <w:szCs w:val="21"/>
          </w:rPr>
          <w:t>https://www.climatechoices.act.gov.au/policy-programs/energy-innovation-fund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NSW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I2N Cleantech Accelerator — University of Newcastle</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Non-dilutive program support; IP support via Davies Collison Cave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applications expected ~April–July 2026 (programme Aug–Nov)</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Pre-Series A; any founder (not UNSW-affiliated required); Hunter/Central Coast focus but open nationally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Integrated Innovation Network (I2N) / University of Newcastle</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One of the only sector-specific cleantech accelerators outside Sydney and Melbourne, with genuine depth in clean energy and recycling commercialisation. TRaCE funding gives it stronger resource backing than typical university accelerators.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Applications typically open April, with an info session in May and programme starting August. Monitor hunternewenergy.com.au for next cohort announcements.</w:t>
      </w:r>
    </w:p>
    <w:p>
      <w:pPr>
        <w:pStyle w:val="ListBullet"/>
        <w:spacing w:before="0" w:after="60"/>
      </w:pPr>
      <w:r>
        <w:rPr>
          <w:rFonts w:ascii="Calibri" w:hAnsi="Calibri"/>
          <w:b/>
          <w:i w:val="0"/>
          <w:color w:val="6B7280"/>
          <w:sz w:val="21"/>
          <w:u w:val="none"/>
        </w:rPr>
        <w:t xml:space="preserve">Source:  </w:t>
      </w:r>
      <w:hyperlink r:id="rId23" w:history="1">
        <w:r>
          <w:rPr>
            <w:rStyle w:val="Hyperlink"/>
            <w:color w:val="005EA2"/>
            <w:sz w:val="21"/>
            <w:szCs w:val="21"/>
          </w:rPr>
          <w:t>https://www.newcastle.edu.au/engage/business-and-industry/integrated-innovation-network-i2n/programs/accelerators/i2n-cleantech-accelerator</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Net Zero Manufacturing Initiative (NZMI)</w:t>
      </w:r>
    </w:p>
    <w:p>
      <w:pPr>
        <w:spacing w:before="40" w:after="120"/>
      </w:pPr>
      <w:r>
        <w:rPr>
          <w:rFonts w:ascii="Calibri" w:hAnsi="Calibri"/>
          <w:b/>
          <w:i/>
          <w:color w:val="6B7280"/>
          <w:sz w:val="20"/>
          <w:u w:val="none"/>
        </w:rPr>
        <w:t>Grant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CTI stream: $250,000–$5,000,000 (50% co-contribution); LCPM/RM streams: $50K–$50M</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Round 2 in development — register interest at energy.nsw.gov.au/NZMI</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Innovation to manufacturing scale; cleantech, low-carbon products, renewable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Climate and Energy Action / energy.nsw.gov.au</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most substantial manufacturing-focused cleantech grant program in NSW. CTI's commercialisation stream ($250K–$5M) is directly relevant to startups with validated technology seeking production scale-up capital.</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Register interest at energy.nsw.gov.au/NZMI for Round 2 notification. Round 2 construction-ready streams expected to carry larger pools than Round 1.</w:t>
      </w:r>
    </w:p>
    <w:p>
      <w:pPr>
        <w:pStyle w:val="ListBullet"/>
        <w:spacing w:before="0" w:after="60"/>
      </w:pPr>
      <w:r>
        <w:rPr>
          <w:rFonts w:ascii="Calibri" w:hAnsi="Calibri"/>
          <w:b/>
          <w:i w:val="0"/>
          <w:color w:val="6B7280"/>
          <w:sz w:val="21"/>
          <w:u w:val="none"/>
        </w:rPr>
        <w:t xml:space="preserve">Source:  </w:t>
      </w:r>
      <w:hyperlink r:id="rId24" w:history="1">
        <w:r>
          <w:rPr>
            <w:rStyle w:val="Hyperlink"/>
            <w:color w:val="005EA2"/>
            <w:sz w:val="21"/>
            <w:szCs w:val="21"/>
          </w:rPr>
          <w:t>https://business.gov.au/grants-and-programs/net-zero-manufacturing-initiative-low-carbon-product-manufacturing-nsw</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UNSW Climate 10x Accelerator (TRaCE Trailblazer)</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Equity and/or non-dilutive support (details on application)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unswfounders.com/accelerators for current intake</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Early-stage; clean energy and recycling startups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UNSW Founders (federally funded via Trailblazer for Recycling and Clean Energy)</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Federal Trailblazer funding means this program has significant resources for participants compared to standard accelerators. Clean energy and recycling sectors particularly well served.</w:t>
      </w:r>
    </w:p>
    <w:p>
      <w:pPr>
        <w:pStyle w:val="ListBullet"/>
        <w:spacing w:before="0" w:after="60"/>
      </w:pPr>
      <w:r>
        <w:rPr>
          <w:rFonts w:ascii="Calibri" w:hAnsi="Calibri"/>
          <w:b/>
          <w:i w:val="0"/>
          <w:color w:val="6B7280"/>
          <w:sz w:val="21"/>
          <w:u w:val="none"/>
        </w:rPr>
        <w:t xml:space="preserve">Source:  </w:t>
      </w:r>
      <w:hyperlink r:id="rId25" w:history="1">
        <w:r>
          <w:rPr>
            <w:rStyle w:val="Hyperlink"/>
            <w:color w:val="005EA2"/>
            <w:sz w:val="21"/>
            <w:szCs w:val="21"/>
          </w:rPr>
          <w:t>https://unswfounders.com/accelerators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QLD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QLD: Advance Queensland — Ignite Ideas Fund</w:t>
      </w:r>
    </w:p>
    <w:p>
      <w:pPr>
        <w:spacing w:before="40" w:after="120"/>
      </w:pPr>
      <w:r>
        <w:rPr>
          <w:rFonts w:ascii="Calibri" w:hAnsi="Calibri"/>
          <w:b/>
          <w:i/>
          <w:color w:val="6B7280"/>
          <w:sz w:val="20"/>
          <w:u w:val="none"/>
        </w:rPr>
        <w:t>Grant  ·  QLD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(Tier 1) or $100,001–$200,000 (Tier 2); 20% matched contribution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TBC — monitor advance.qld.gov.au</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MVP to early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Advance Queensland (Queensland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primary non-dilutive commercialisation grant for Queensland startups. Monitor advance.qld.gov.au for Round 13 opening dates.</w:t>
      </w:r>
    </w:p>
    <w:p>
      <w:pPr>
        <w:pStyle w:val="ListBullet"/>
        <w:spacing w:before="0" w:after="60"/>
      </w:pPr>
      <w:r>
        <w:rPr>
          <w:rFonts w:ascii="Calibri" w:hAnsi="Calibri"/>
          <w:b/>
          <w:i w:val="0"/>
          <w:color w:val="6B7280"/>
          <w:sz w:val="21"/>
          <w:u w:val="none"/>
        </w:rPr>
        <w:t xml:space="preserve">Source:  </w:t>
      </w:r>
      <w:hyperlink r:id="rId26" w:history="1">
        <w:r>
          <w:rPr>
            <w:rStyle w:val="Hyperlink"/>
            <w:color w:val="005EA2"/>
            <w:sz w:val="21"/>
            <w:szCs w:val="21"/>
          </w:rPr>
          <w:t>https://advance.qld.gov.au/grants-and-programs/ignite-ideas-fund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SA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SA: Green Industries SA — Circular Economy Grants</w:t>
      </w:r>
    </w:p>
    <w:p>
      <w:pPr>
        <w:spacing w:before="40" w:after="120"/>
      </w:pPr>
      <w:r>
        <w:rPr>
          <w:rFonts w:ascii="Calibri" w:hAnsi="Calibri"/>
          <w:b/>
          <w:i/>
          <w:color w:val="6B7280"/>
          <w:sz w:val="20"/>
          <w:u w:val="none"/>
        </w:rPr>
        <w:t>Grant  ·  SA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(Business &amp; Market Development) or $200,000–$2M (Circular Infrastructure)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greenindustries.sa.gov.au for 2026 round status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circular economy and recycling focus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Green Industries SA (GISA)</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SA's primary cleantech/circular economy grant channel. Businesses in materials, waste-to-energy, and recycling sectors should register their interest with GISA directly.</w:t>
      </w:r>
    </w:p>
    <w:p>
      <w:pPr>
        <w:pStyle w:val="ListBullet"/>
        <w:spacing w:before="0" w:after="60"/>
      </w:pPr>
      <w:r>
        <w:rPr>
          <w:rFonts w:ascii="Calibri" w:hAnsi="Calibri"/>
          <w:b/>
          <w:i w:val="0"/>
          <w:color w:val="6B7280"/>
          <w:sz w:val="21"/>
          <w:u w:val="none"/>
        </w:rPr>
        <w:t xml:space="preserve">Source:  </w:t>
      </w:r>
      <w:hyperlink r:id="rId27" w:history="1">
        <w:r>
          <w:rPr>
            <w:rStyle w:val="Hyperlink"/>
            <w:color w:val="005EA2"/>
            <w:sz w:val="21"/>
            <w:szCs w:val="21"/>
          </w:rPr>
          <w:t>https://www.greenindustries.sa.gov.au/funding</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TAS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TAS: ReCFIT Climate Change Business Innovation Grants</w:t>
      </w:r>
    </w:p>
    <w:p>
      <w:pPr>
        <w:spacing w:before="40" w:after="120"/>
      </w:pPr>
      <w:r>
        <w:rPr>
          <w:rFonts w:ascii="Calibri" w:hAnsi="Calibri"/>
          <w:b/>
          <w:i/>
          <w:color w:val="6B7280"/>
          <w:sz w:val="20"/>
          <w:u w:val="none"/>
        </w:rPr>
        <w:t>Grant  ·  TAS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$25,000–$100,000; 30% cash co-contribution required</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expected early–mid 2026</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($500K–$55M turnover); climate action and low-emissions tech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Renewables, Climate and Future Industries Tasmania (ReCFIT)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Tasmania's primary cleantech SME grant. Relatively small pool — early applications are advantaged. Monitor recfit.tas.gov.au for the 2026 round.</w:t>
      </w:r>
    </w:p>
    <w:p>
      <w:pPr>
        <w:pStyle w:val="ListBullet"/>
        <w:spacing w:before="0" w:after="60"/>
      </w:pPr>
      <w:r>
        <w:rPr>
          <w:rFonts w:ascii="Calibri" w:hAnsi="Calibri"/>
          <w:b/>
          <w:i w:val="0"/>
          <w:color w:val="6B7280"/>
          <w:sz w:val="21"/>
          <w:u w:val="none"/>
        </w:rPr>
        <w:t xml:space="preserve">Source:  </w:t>
      </w:r>
      <w:hyperlink r:id="rId28" w:history="1">
        <w:r>
          <w:rPr>
            <w:rStyle w:val="Hyperlink"/>
            <w:color w:val="005EA2"/>
            <w:sz w:val="21"/>
            <w:szCs w:val="21"/>
          </w:rPr>
          <w:t>https://www.recfit.tas.gov.au/grants_programs/climate-change/climate-change-business-innovation-grants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VIC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Breakthrough Victoria — Clean Economy Fund</w:t>
      </w:r>
    </w:p>
    <w:p>
      <w:pPr>
        <w:spacing w:before="40" w:after="120"/>
      </w:pPr>
      <w:r>
        <w:rPr>
          <w:rFonts w:ascii="Calibri" w:hAnsi="Calibri"/>
          <w:b/>
          <w:i/>
          <w:color w:val="6B7280"/>
          <w:sz w:val="20"/>
          <w:u w:val="none"/>
        </w:rPr>
        <w:t>Equity Investment  ·  VIC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$75M committed to VC funds; 25% must deploy into Victorian companies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Ongoing — apply to backed funds (Virescent Ventures, Boson Ventures)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Seed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Breakthrough Victoria (Victorian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Victorian cleantech founders should prioritise Virescent Ventures and Boson Ventures as their first equity contacts — BV's co-investment mandate increases deal size and credibility.</w:t>
      </w:r>
    </w:p>
    <w:p>
      <w:pPr>
        <w:pStyle w:val="ListBullet"/>
        <w:spacing w:before="0" w:after="60"/>
      </w:pPr>
      <w:r>
        <w:rPr>
          <w:rFonts w:ascii="Calibri" w:hAnsi="Calibri"/>
          <w:b/>
          <w:i w:val="0"/>
          <w:color w:val="6B7280"/>
          <w:sz w:val="21"/>
          <w:u w:val="none"/>
        </w:rPr>
        <w:t xml:space="preserve">Source:  </w:t>
      </w:r>
      <w:hyperlink r:id="rId29" w:history="1">
        <w:r>
          <w:rPr>
            <w:rStyle w:val="Hyperlink"/>
            <w:color w:val="005EA2"/>
            <w:sz w:val="21"/>
            <w:szCs w:val="21"/>
          </w:rPr>
          <w:t>https://breakthroughvictoria.com/growth-sectors/clean-economy/</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WA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WA: Founders Factory Nature Tech Accelerator</w:t>
      </w:r>
    </w:p>
    <w:p>
      <w:pPr>
        <w:spacing w:before="40" w:after="120"/>
      </w:pPr>
      <w:r>
        <w:rPr>
          <w:rFonts w:ascii="Calibri" w:hAnsi="Calibri"/>
          <w:b/>
          <w:i/>
          <w:color w:val="6B7280"/>
          <w:sz w:val="20"/>
          <w:u w:val="none"/>
        </w:rPr>
        <w:t>Accelerator  ·  WA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$50,000 per startup + 4-month operational support</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TBC — Feb 2026 cohort underway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Pre-seed to seed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Founders Factory / WA Government ($7.2M, 3-year commitment)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Western Australia's most direct pathway for early-stage environmental-tech founders. The $7.2M multi-year commitment signals ongoing cohort delivery — monitor foundersfactory.com for next intake.</w:t>
      </w:r>
    </w:p>
    <w:p>
      <w:pPr>
        <w:pStyle w:val="ListBullet"/>
        <w:spacing w:before="0" w:after="60"/>
      </w:pPr>
      <w:r>
        <w:rPr>
          <w:rFonts w:ascii="Calibri" w:hAnsi="Calibri"/>
          <w:b/>
          <w:i w:val="0"/>
          <w:color w:val="6B7280"/>
          <w:sz w:val="21"/>
          <w:u w:val="none"/>
        </w:rPr>
        <w:t xml:space="preserve">Source:  </w:t>
      </w:r>
      <w:hyperlink r:id="rId30" w:history="1">
        <w:r>
          <w:rPr>
            <w:rStyle w:val="Hyperlink"/>
            <w:color w:val="005EA2"/>
            <w:sz w:val="21"/>
            <w:szCs w:val="21"/>
          </w:rPr>
          <w:t>https://foundersfactory.com/western-australia-government-nature-tech-accelerator/</w:t>
        </w:r>
      </w:hyperlink>
    </w:p>
    <w:p>
      <w:pPr>
        <w:spacing w:before="280" w:after="40"/>
      </w:pPr>
      <w:r>
        <w:rPr>
          <w:rFonts w:ascii="Calibri" w:hAnsi="Calibri"/>
          <w:b w:val="0"/>
          <w:i w:val="0"/>
          <w:color w:val="6B7280"/>
          <w:sz w:val="16"/>
          <w:u w:val="none"/>
        </w:rPr>
        <w:t>──────────────────────────────────────────────────────</w:t>
      </w:r>
    </w:p>
    <w:p>
      <w:pPr>
        <w:spacing w:before="320" w:after="80"/>
        <w:pBdr>
          <w:bottom w:val="single" w:sz="4" w:space="1" w:color="AAAAAA"/>
        </w:pBdr>
      </w:pPr>
    </w:p>
    <w:p>
      <w:pPr>
        <w:spacing w:before="0" w:after="0"/>
      </w:pPr>
      <w:r>
        <w:rPr>
          <w:rFonts w:ascii="Calibri" w:hAnsi="Calibri"/>
          <w:b w:val="0"/>
          <w:i/>
          <w:color w:val="6B7280"/>
          <w:sz w:val="18"/>
          <w:u w:val="none"/>
        </w:rPr>
        <w:t>© GG Advisory  |  gg-advisory.org  |  June 2026 edition  |  Information is indicative only — verify deadlines and eligibility directly with the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a.gov.au/researcher-applicant/grants" TargetMode="External"/><Relationship Id="rId10" Type="http://schemas.openxmlformats.org/officeDocument/2006/relationships/hyperlink" Target="https://arena.gov.au/funding/advancing-renewables-program/" TargetMode="External"/><Relationship Id="rId11" Type="http://schemas.openxmlformats.org/officeDocument/2006/relationships/hyperlink" Target="https://arena.gov.au/funding/future-made-in-australia-innovation-fund/" TargetMode="External"/><Relationship Id="rId12" Type="http://schemas.openxmlformats.org/officeDocument/2006/relationships/hyperlink" Target="https://www.brinc.io/programs/accelerators/australia-cleantech-accelerator-program/" TargetMode="External"/><Relationship Id="rId13" Type="http://schemas.openxmlformats.org/officeDocument/2006/relationships/hyperlink" Target="https://www.virescent.vc/" TargetMode="External"/><Relationship Id="rId14" Type="http://schemas.openxmlformats.org/officeDocument/2006/relationships/hyperlink" Target="https://www.csiro.au/en/work-with-us/funding-programs/innovation-programs/on-accelerate" TargetMode="External"/><Relationship Id="rId15" Type="http://schemas.openxmlformats.org/officeDocument/2006/relationships/hyperlink" Target="https://energylab.org.au/programs/scaleup/" TargetMode="External"/><Relationship Id="rId16" Type="http://schemas.openxmlformats.org/officeDocument/2006/relationships/hyperlink" Target="https://arena.gov.au/funding/hydrogen-headstart-round2/" TargetMode="External"/><Relationship Id="rId17" Type="http://schemas.openxmlformats.org/officeDocument/2006/relationships/hyperlink" Target="https://business.gov.au/grants-and-programs/industry-growth-program" TargetMode="External"/><Relationship Id="rId18" Type="http://schemas.openxmlformats.org/officeDocument/2006/relationships/hyperlink" Target="https://www.mseq.vc/" TargetMode="External"/><Relationship Id="rId19" Type="http://schemas.openxmlformats.org/officeDocument/2006/relationships/hyperlink" Target="https://www.nrf.gov.au/" TargetMode="External"/><Relationship Id="rId20" Type="http://schemas.openxmlformats.org/officeDocument/2006/relationships/hyperlink" Target="https://business.gov.au/grants-and-programs/research-and-development-tax-incentive" TargetMode="External"/><Relationship Id="rId21" Type="http://schemas.openxmlformats.org/officeDocument/2006/relationships/hyperlink" Target="https://www.startmate.com/accelerator/program" TargetMode="External"/><Relationship Id="rId22" Type="http://schemas.openxmlformats.org/officeDocument/2006/relationships/hyperlink" Target="https://www.climatechoices.act.gov.au/policy-programs/energy-innovation-fund" TargetMode="External"/><Relationship Id="rId23" Type="http://schemas.openxmlformats.org/officeDocument/2006/relationships/hyperlink" Target="https://www.newcastle.edu.au/engage/business-and-industry/integrated-innovation-network-i2n/programs/accelerators/i2n-cleantech-accelerator" TargetMode="External"/><Relationship Id="rId24" Type="http://schemas.openxmlformats.org/officeDocument/2006/relationships/hyperlink" Target="https://business.gov.au/grants-and-programs/net-zero-manufacturing-initiative-low-carbon-product-manufacturing-nsw" TargetMode="External"/><Relationship Id="rId25" Type="http://schemas.openxmlformats.org/officeDocument/2006/relationships/hyperlink" Target="https://unswfounders.com/accelerators" TargetMode="External"/><Relationship Id="rId26" Type="http://schemas.openxmlformats.org/officeDocument/2006/relationships/hyperlink" Target="https://advance.qld.gov.au/grants-and-programs/ignite-ideas-fund" TargetMode="External"/><Relationship Id="rId27" Type="http://schemas.openxmlformats.org/officeDocument/2006/relationships/hyperlink" Target="https://www.greenindustries.sa.gov.au/funding" TargetMode="External"/><Relationship Id="rId28" Type="http://schemas.openxmlformats.org/officeDocument/2006/relationships/hyperlink" Target="https://www.recfit.tas.gov.au/grants_programs/climate-change/climate-change-business-innovation-grants" TargetMode="External"/><Relationship Id="rId29" Type="http://schemas.openxmlformats.org/officeDocument/2006/relationships/hyperlink" Target="https://breakthroughvictoria.com/growth-sectors/clean-economy/" TargetMode="External"/><Relationship Id="rId30" Type="http://schemas.openxmlformats.org/officeDocument/2006/relationships/hyperlink" Target="https://foundersfactory.com/western-australia-government-nature-tech-accel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