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val="0"/>
          <w:i w:val="0"/>
          <w:color w:val="555555"/>
          <w:sz w:val="20"/>
          <w:u w:val="none"/>
        </w:rPr>
        <w:t>GG Advisory  |  Monthly Signals Digest</w:t>
      </w:r>
    </w:p>
    <w:p>
      <w:pPr>
        <w:spacing w:before="0" w:after="120"/>
      </w:pPr>
      <w:r>
        <w:rPr>
          <w:rFonts w:ascii="Calibri" w:hAnsi="Calibri"/>
          <w:b/>
          <w:i w:val="0"/>
          <w:color w:val="1B7A6B"/>
          <w:sz w:val="44"/>
          <w:u w:val="none"/>
        </w:rPr>
        <w:t>June 2026</w:t>
      </w:r>
    </w:p>
    <w:p>
      <w:pPr>
        <w:spacing w:before="40" w:after="40"/>
        <w:pBdr>
          <w:bottom w:val="single" w:sz="18" w:space="1" w:color="1B7A6B"/>
        </w:pBdr>
      </w:pPr>
    </w:p>
    <w:p>
      <w:pPr>
        <w:spacing w:before="200" w:after="80"/>
      </w:pPr>
      <w:r>
        <w:rPr>
          <w:rFonts w:ascii="Calibri" w:hAnsi="Calibri"/>
          <w:b/>
          <w:i w:val="0"/>
          <w:color w:val="2C2C2C"/>
          <w:sz w:val="24"/>
          <w:u w:val="single"/>
        </w:rPr>
        <w:t>Top Lines</w:t>
      </w:r>
    </w:p>
    <w:p>
      <w:pPr>
        <w:pStyle w:val="ListBullet"/>
        <w:spacing w:before="40" w:after="40"/>
      </w:pPr>
      <w:r>
        <w:rPr>
          <w:rFonts w:ascii="Calibri" w:hAnsi="Calibri"/>
          <w:b w:val="0"/>
          <w:i w:val="0"/>
          <w:color w:val="2C2C2C"/>
          <w:sz w:val="22"/>
          <w:u w:val="none"/>
        </w:rPr>
        <w:t>AEMC's Electricity Network Regulation Review submissions due by 23 July 2026</w:t>
      </w:r>
    </w:p>
    <w:p>
      <w:pPr>
        <w:pStyle w:val="ListBullet"/>
        <w:spacing w:before="40" w:after="40"/>
      </w:pPr>
      <w:r>
        <w:rPr>
          <w:rFonts w:ascii="Calibri" w:hAnsi="Calibri"/>
          <w:b w:val="0"/>
          <w:i w:val="0"/>
          <w:color w:val="2C2C2C"/>
          <w:sz w:val="22"/>
          <w:u w:val="none"/>
        </w:rPr>
        <w:t>AER's draft decision on 2026 Rate of Return Instrument could save $1.1 billion</w:t>
      </w:r>
    </w:p>
    <w:p>
      <w:pPr>
        <w:pStyle w:val="ListBullet"/>
        <w:spacing w:before="40" w:after="40"/>
      </w:pPr>
      <w:r>
        <w:rPr>
          <w:rFonts w:ascii="Calibri" w:hAnsi="Calibri"/>
          <w:b w:val="0"/>
          <w:i w:val="0"/>
          <w:color w:val="2C2C2C"/>
          <w:sz w:val="22"/>
          <w:u w:val="none"/>
        </w:rPr>
        <w:t>ISSB to allow TNFD metrics for nature-related disclosures</w:t>
      </w:r>
    </w:p>
    <w:p>
      <w:pPr>
        <w:spacing w:before="280" w:after="0"/>
      </w:pPr>
    </w:p>
    <w:p>
      <w:pPr>
        <w:spacing w:before="0" w:after="80"/>
      </w:pPr>
      <w:r>
        <w:rPr>
          <w:rFonts w:ascii="Calibri" w:hAnsi="Calibri"/>
          <w:b/>
          <w:i w:val="0"/>
          <w:color w:val="1B7A6B"/>
          <w:sz w:val="26"/>
          <w:u w:val="single"/>
        </w:rPr>
        <w:t>ENERGY TRANSITION</w:t>
      </w:r>
    </w:p>
    <w:p>
      <w:pPr>
        <w:spacing w:before="40" w:after="40"/>
        <w:pBdr>
          <w:bottom w:val="single" w:sz="8" w:space="1" w:color="1B7A6B"/>
        </w:pBdr>
      </w:pPr>
    </w:p>
    <w:p>
      <w:pPr>
        <w:spacing w:before="200" w:after="40"/>
      </w:pPr>
      <w:r>
        <w:rPr>
          <w:rFonts w:ascii="Calibri" w:hAnsi="Calibri"/>
          <w:b/>
          <w:i w:val="0"/>
          <w:color w:val="2C2C2C"/>
          <w:sz w:val="23"/>
          <w:u w:val="none"/>
        </w:rPr>
        <w:t>AEMC Review of Electricity Network Regulation Begins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25 June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Australian Energy Market Commission (AEMC) has launched a comprehensive review of electricity network regulation, focusing on the evolving role of networks amid the energy transition. Renewables now account for over 50% of electricity generation in the national market. The review will be conducted in two packages, with Package 1 focusing on service classification and competition, and Package 2 on network efficiency and revenue setting, concluding in Q4 2027. Submissions for Package 1 are due by 23 July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CFOs and regulatory teams at energy companies should prepare submissions by 23 July 2026 to influence the regulatory framework that will impact network operations and costs.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Track the public forum in August 2026 for further insights into regulatory changes.</w:t>
      </w:r>
    </w:p>
    <w:p>
      <w:pPr>
        <w:spacing w:before="40" w:after="120"/>
      </w:pPr>
      <w:r>
        <w:rPr>
          <w:rFonts w:ascii="Calibri" w:hAnsi="Calibri"/>
          <w:b/>
          <w:i w:val="0"/>
          <w:color w:val="555555"/>
          <w:sz w:val="21"/>
          <w:u w:val="none"/>
        </w:rPr>
        <w:t xml:space="preserve">Source:  </w:t>
      </w:r>
      <w:hyperlink r:id="rId9" w:history="1">
        <w:r>
          <w:rPr>
            <w:rStyle w:val="Hyperlink"/>
            <w:color w:val="005EA2"/>
            <w:sz w:val="22"/>
            <w:szCs w:val="22"/>
          </w:rPr>
          <w:t>AEMC Media Release</w:t>
        </w:r>
      </w:hyperlink>
    </w:p>
    <w:p>
      <w:pPr>
        <w:spacing w:before="200" w:after="40"/>
      </w:pPr>
      <w:r>
        <w:rPr>
          <w:rFonts w:ascii="Calibri" w:hAnsi="Calibri"/>
          <w:b/>
          <w:i w:val="0"/>
          <w:color w:val="2C2C2C"/>
          <w:sz w:val="23"/>
          <w:u w:val="none"/>
        </w:rPr>
        <w:t>AEMC Finalises Stage 2 Gas Reforms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25 June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AEMC has finalized three new rules to enhance the east coast gas system's reliability, addressing supply shortages as coal generators retire. The reforms include the Projected Assessment of System Adequacy (PASA) for better demand-supply outlooks, a tiered risk signalling framework, and a Supplier of Last Resort Mechanism. Implementation begins immediately, with full operation by mid-2028.</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Energy companies should align their operational strategies with the new risk signalling framework by April 2027 to mitigate supply risks.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Monitor AEMO's updates on procedures and guidelines as they begin implementation.</w:t>
      </w:r>
    </w:p>
    <w:p>
      <w:pPr>
        <w:spacing w:before="40" w:after="120"/>
      </w:pPr>
      <w:r>
        <w:rPr>
          <w:rFonts w:ascii="Calibri" w:hAnsi="Calibri"/>
          <w:b/>
          <w:i w:val="0"/>
          <w:color w:val="555555"/>
          <w:sz w:val="21"/>
          <w:u w:val="none"/>
        </w:rPr>
        <w:t xml:space="preserve">Source:  </w:t>
      </w:r>
      <w:hyperlink r:id="rId10" w:history="1">
        <w:r>
          <w:rPr>
            <w:rStyle w:val="Hyperlink"/>
            <w:color w:val="005EA2"/>
            <w:sz w:val="22"/>
            <w:szCs w:val="22"/>
          </w:rPr>
          <w:t>AEMC Media Release</w:t>
        </w:r>
      </w:hyperlink>
    </w:p>
    <w:p>
      <w:pPr>
        <w:spacing w:before="280" w:after="0"/>
      </w:pPr>
    </w:p>
    <w:p>
      <w:pPr>
        <w:spacing w:before="0" w:after="80"/>
      </w:pPr>
      <w:r>
        <w:rPr>
          <w:rFonts w:ascii="Calibri" w:hAnsi="Calibri"/>
          <w:b/>
          <w:i w:val="0"/>
          <w:color w:val="1B7A6B"/>
          <w:sz w:val="26"/>
          <w:u w:val="single"/>
        </w:rPr>
        <w:t>ESG REPORTING</w:t>
      </w:r>
    </w:p>
    <w:p>
      <w:pPr>
        <w:spacing w:before="40" w:after="40"/>
        <w:pBdr>
          <w:bottom w:val="single" w:sz="8" w:space="1" w:color="1B7A6B"/>
        </w:pBdr>
      </w:pPr>
    </w:p>
    <w:p>
      <w:pPr>
        <w:spacing w:before="200" w:after="40"/>
      </w:pPr>
      <w:r>
        <w:rPr>
          <w:rFonts w:ascii="Calibri" w:hAnsi="Calibri"/>
          <w:b/>
          <w:i w:val="0"/>
          <w:color w:val="2C2C2C"/>
          <w:sz w:val="23"/>
          <w:u w:val="none"/>
        </w:rPr>
        <w:t>EFRAG Releases Second Edition of SME Sustainability Reporting Tools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25 June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EFRAG has released the second edition of mappings for digital tools and platforms to support SME sustainability reporting under the Voluntary Standard for SMEs (VSME). The report includes 58 digital tools and 108 platforms, offering comparative analyses to aid SMEs in reporting GHG emissions. This initiative is part of EFRAG's efforts to promote the VSME Ecosystem.</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SMEs with EU market exposure should evaluate these tools to enhance their sustainability reporting capabilities in line with EU standards.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Follow EFRAG's updates on the VSME Ecosystem for further developments in SME sustainability reporting.</w:t>
      </w:r>
    </w:p>
    <w:p>
      <w:pPr>
        <w:spacing w:before="40" w:after="120"/>
      </w:pPr>
      <w:r>
        <w:rPr>
          <w:rFonts w:ascii="Calibri" w:hAnsi="Calibri"/>
          <w:b/>
          <w:i w:val="0"/>
          <w:color w:val="555555"/>
          <w:sz w:val="21"/>
          <w:u w:val="none"/>
        </w:rPr>
        <w:t xml:space="preserve">Source:  </w:t>
      </w:r>
      <w:hyperlink r:id="rId11" w:history="1">
        <w:r>
          <w:rPr>
            <w:rStyle w:val="Hyperlink"/>
            <w:color w:val="005EA2"/>
            <w:sz w:val="22"/>
            <w:szCs w:val="22"/>
          </w:rPr>
          <w:t>EFRAG News</w:t>
        </w:r>
      </w:hyperlink>
    </w:p>
    <w:p>
      <w:pPr>
        <w:spacing w:before="200" w:after="40"/>
      </w:pPr>
      <w:r>
        <w:rPr>
          <w:rFonts w:ascii="Calibri" w:hAnsi="Calibri"/>
          <w:b/>
          <w:i w:val="0"/>
          <w:color w:val="2C2C2C"/>
          <w:sz w:val="23"/>
          <w:u w:val="none"/>
        </w:rPr>
        <w:t>ISSB Update on Nature-related Disclosures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1 June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ISSB has decided to allow entities to use Taskforce on Nature-related Financial Disclosures (TNFD) metrics for nature-related disclosures, provided they align with IFRS S1 and do not conflict with IFRS Sustainability Disclosure Standards. This decision aims to enhance the scope and applicability of nature-related financial disclosures.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companies preparing sustainability reports should integrate TNFD metrics to meet ISSB standards, ensuring comprehensive nature-related disclosures.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Await the ISSB's decision on starting the balloting process for an exposure draft of the Practice Statement.</w:t>
      </w:r>
    </w:p>
    <w:p>
      <w:pPr>
        <w:spacing w:before="40" w:after="120"/>
      </w:pPr>
      <w:r>
        <w:rPr>
          <w:rFonts w:ascii="Calibri" w:hAnsi="Calibri"/>
          <w:b/>
          <w:i w:val="0"/>
          <w:color w:val="555555"/>
          <w:sz w:val="21"/>
          <w:u w:val="none"/>
        </w:rPr>
        <w:t xml:space="preserve">Source:  </w:t>
      </w:r>
      <w:hyperlink r:id="rId12" w:history="1">
        <w:r>
          <w:rPr>
            <w:rStyle w:val="Hyperlink"/>
            <w:color w:val="005EA2"/>
            <w:sz w:val="22"/>
            <w:szCs w:val="22"/>
          </w:rPr>
          <w:t>IFRS Update</w:t>
        </w:r>
      </w:hyperlink>
    </w:p>
    <w:p>
      <w:pPr>
        <w:spacing w:before="280" w:after="0"/>
      </w:pPr>
    </w:p>
    <w:p>
      <w:pPr>
        <w:spacing w:before="0" w:after="80"/>
      </w:pPr>
      <w:r>
        <w:rPr>
          <w:rFonts w:ascii="Calibri" w:hAnsi="Calibri"/>
          <w:b/>
          <w:i w:val="0"/>
          <w:color w:val="1B7A6B"/>
          <w:sz w:val="26"/>
          <w:u w:val="single"/>
        </w:rPr>
        <w:t>SUSTAINABLE FINANCE &amp; INVESTMENT</w:t>
      </w:r>
    </w:p>
    <w:p>
      <w:pPr>
        <w:spacing w:before="40" w:after="40"/>
        <w:pBdr>
          <w:bottom w:val="single" w:sz="8" w:space="1" w:color="1B7A6B"/>
        </w:pBdr>
      </w:pPr>
    </w:p>
    <w:p>
      <w:pPr>
        <w:spacing w:before="200" w:after="40"/>
      </w:pPr>
      <w:r>
        <w:rPr>
          <w:rFonts w:ascii="Calibri" w:hAnsi="Calibri"/>
          <w:b/>
          <w:i w:val="0"/>
          <w:color w:val="2C2C2C"/>
          <w:sz w:val="23"/>
          <w:u w:val="none"/>
        </w:rPr>
        <w:t>Generation IM Raises Over $1 Billion for Sustainable Fund</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30 June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Generation Investment Management, chaired by Al Gore, has raised over $1 billion for a private equity fund focused on sustainable transformation. This fund aims to invest in companies driving sustainable practices and innovations.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Institutional investors should consider aligning portfolios with funds like Generation IM's to capitalize on sustainable transformation opportunities.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Monitor Generation IM's investment allocations for insights into emerging sustainable sectors.</w:t>
      </w:r>
    </w:p>
    <w:p>
      <w:pPr>
        <w:spacing w:before="40" w:after="120"/>
      </w:pPr>
      <w:r>
        <w:rPr>
          <w:rFonts w:ascii="Calibri" w:hAnsi="Calibri"/>
          <w:b/>
          <w:i w:val="0"/>
          <w:color w:val="555555"/>
          <w:sz w:val="21"/>
          <w:u w:val="none"/>
        </w:rPr>
        <w:t xml:space="preserve">Source:  </w:t>
      </w:r>
      <w:hyperlink r:id="rId13" w:history="1">
        <w:r>
          <w:rPr>
            <w:rStyle w:val="Hyperlink"/>
            <w:color w:val="005EA2"/>
            <w:sz w:val="22"/>
            <w:szCs w:val="22"/>
          </w:rPr>
          <w:t>ESG Today</w:t>
        </w:r>
      </w:hyperlink>
    </w:p>
    <w:p>
      <w:pPr>
        <w:spacing w:before="200" w:after="40"/>
      </w:pPr>
      <w:r>
        <w:rPr>
          <w:rFonts w:ascii="Calibri" w:hAnsi="Calibri"/>
          <w:b/>
          <w:i w:val="0"/>
          <w:color w:val="2C2C2C"/>
          <w:sz w:val="23"/>
          <w:u w:val="none"/>
        </w:rPr>
        <w:t>New Resource on Just Adaptation for Investors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9 June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new resource has been released to help institutional investors incorporate just adaptation into their investment processes. The report outlines how adaptation decisions can impact social and financial risks and provides guidance on integrating these considerations into investment strategies.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Investors should integrate just adaptation principles to mitigate social risks and enhance the resilience of their portfolios against climate impacts.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Look for further guidance and case studies on just adaptation practices in upcoming industry reports.</w:t>
      </w:r>
    </w:p>
    <w:p>
      <w:pPr>
        <w:spacing w:before="40" w:after="120"/>
      </w:pPr>
      <w:r>
        <w:rPr>
          <w:rFonts w:ascii="Calibri" w:hAnsi="Calibri"/>
          <w:b/>
          <w:i w:val="0"/>
          <w:color w:val="555555"/>
          <w:sz w:val="21"/>
          <w:u w:val="none"/>
        </w:rPr>
        <w:t xml:space="preserve">Source:  </w:t>
      </w:r>
      <w:hyperlink r:id="rId14" w:history="1">
        <w:r>
          <w:rPr>
            <w:rStyle w:val="Hyperlink"/>
            <w:color w:val="005EA2"/>
            <w:sz w:val="22"/>
            <w:szCs w:val="22"/>
          </w:rPr>
          <w:t>IGCC Resource</w:t>
        </w:r>
      </w:hyperlink>
    </w:p>
    <w:p>
      <w:pPr>
        <w:spacing w:before="280" w:after="0"/>
      </w:pPr>
    </w:p>
    <w:p>
      <w:pPr>
        <w:spacing w:before="0" w:after="80"/>
      </w:pPr>
      <w:r>
        <w:rPr>
          <w:rFonts w:ascii="Calibri" w:hAnsi="Calibri"/>
          <w:b/>
          <w:i w:val="0"/>
          <w:color w:val="1B7A6B"/>
          <w:sz w:val="26"/>
          <w:u w:val="single"/>
        </w:rPr>
        <w:t>CLEANTECH &amp; START-UP ECOSYSTEM — GRANTS &amp; ACCELERATORS RADAR</w:t>
      </w:r>
    </w:p>
    <w:p>
      <w:pPr>
        <w:spacing w:before="40" w:after="40"/>
        <w:pBdr>
          <w:bottom w:val="single" w:sz="8" w:space="1" w:color="1B7A6B"/>
        </w:pBdr>
      </w:pPr>
    </w:p>
    <w:p>
      <w:pPr>
        <w:spacing w:before="200" w:after="40"/>
      </w:pPr>
      <w:r>
        <w:rPr>
          <w:rFonts w:ascii="Calibri" w:hAnsi="Calibri"/>
          <w:b/>
          <w:i w:val="0"/>
          <w:color w:val="2C2C2C"/>
          <w:sz w:val="23"/>
          <w:u w:val="none"/>
        </w:rPr>
        <w:t>National programs — open on a rolling basis</w:t>
      </w:r>
    </w:p>
    <w:p>
      <w:pPr>
        <w:spacing w:before="200" w:after="40"/>
      </w:pPr>
      <w:r>
        <w:rPr>
          <w:rFonts w:ascii="Calibri" w:hAnsi="Calibri"/>
          <w:b/>
          <w:i w:val="0"/>
          <w:color w:val="2C2C2C"/>
          <w:sz w:val="23"/>
          <w:u w:val="none"/>
        </w:rPr>
        <w:t>Australia's Economic Accelerator (AEA) — Ignite &amp; Innovate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Round 2 details and opening dates are published on aea.gov.au. The $1.6B envelope means multiple rounds are expected across 2026–2030.</w:t>
      </w:r>
    </w:p>
    <w:p>
      <w:pPr>
        <w:spacing w:before="200" w:after="40"/>
      </w:pPr>
      <w:r>
        <w:rPr>
          <w:rFonts w:ascii="Calibri" w:hAnsi="Calibri"/>
          <w:b/>
          <w:i w:val="0"/>
          <w:color w:val="2C2C2C"/>
          <w:sz w:val="23"/>
          <w:u w:val="none"/>
        </w:rPr>
        <w:t>ARENA Advancing Renewables Program</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Covers the widest range of clean energy technologies of any national program. Suitable for companies with working prototypes ready for demonstration at scale.</w:t>
      </w:r>
    </w:p>
    <w:p>
      <w:pPr>
        <w:spacing w:before="200" w:after="40"/>
      </w:pPr>
      <w:r>
        <w:rPr>
          <w:rFonts w:ascii="Calibri" w:hAnsi="Calibri"/>
          <w:b/>
          <w:i w:val="0"/>
          <w:color w:val="2C2C2C"/>
          <w:sz w:val="23"/>
          <w:u w:val="none"/>
        </w:rPr>
        <w:t>Future Made in Australia (FMIA) Innovation Fund — ARENA</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largest single cleantech manufacturing opportunity in Australia's history. ARENA encourages early engagement before submitting an EOI — contact their team first.</w:t>
      </w:r>
    </w:p>
    <w:p>
      <w:pPr>
        <w:spacing w:before="200" w:after="40"/>
      </w:pPr>
      <w:r>
        <w:rPr>
          <w:rFonts w:ascii="Calibri" w:hAnsi="Calibri"/>
          <w:b/>
          <w:i w:val="0"/>
          <w:color w:val="2C2C2C"/>
          <w:sz w:val="23"/>
          <w:u w:val="none"/>
        </w:rPr>
        <w:t>Brinc / Artesian Clean Energy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few cleantech-exclusive accelerators in Australia with a rolling application process and clear follow-on capital pathway via Artesian. The online format removes geography barriers.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Artesian's Clean Energy Seed Fund can follow with $200K–$2M. Artesian is also active in CEFC-backed co-investment mandates, providing access to further institutional capital.</w:t>
      </w:r>
    </w:p>
    <w:p>
      <w:pPr>
        <w:spacing w:before="200" w:after="40"/>
      </w:pPr>
      <w:r>
        <w:rPr>
          <w:rFonts w:ascii="Calibri" w:hAnsi="Calibri"/>
          <w:b/>
          <w:i w:val="0"/>
          <w:color w:val="2C2C2C"/>
          <w:sz w:val="23"/>
          <w:u w:val="none"/>
        </w:rPr>
        <w:t>CEFC / Virescent Ventures Fund 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startups that have cleared product-market fit and are ready for institutional equity, this is the most relevant Australian climate-tech fund currently deploying capital.</w:t>
      </w:r>
    </w:p>
    <w:p>
      <w:pPr>
        <w:spacing w:before="200" w:after="40"/>
      </w:pPr>
      <w:r>
        <w:rPr>
          <w:rFonts w:ascii="Calibri" w:hAnsi="Calibri"/>
          <w:b/>
          <w:i w:val="0"/>
          <w:color w:val="2C2C2C"/>
          <w:sz w:val="23"/>
          <w:u w:val="none"/>
        </w:rPr>
        <w:t>CSIRO ON Accelerate — Cohort 12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prestigious non-dilutive pathway for early-stage deep-tech founders in Australia. Subscribe to on@csiro.au for early notification when Cohort 12 opens.</w:t>
      </w:r>
    </w:p>
    <w:p>
      <w:pPr>
        <w:spacing w:before="200" w:after="40"/>
      </w:pPr>
      <w:r>
        <w:rPr>
          <w:rFonts w:ascii="Calibri" w:hAnsi="Calibri"/>
          <w:b/>
          <w:i w:val="0"/>
          <w:color w:val="2C2C2C"/>
          <w:sz w:val="23"/>
          <w:u w:val="none"/>
        </w:rPr>
        <w:t>EnergyLab Scaleup Program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EnergyLab's non-dilutive Scaleup Program runs June–October 2026 across three structured modules, culminating in a public showcase at the AllEnergy Conference in October 2026. Designed for startups and energy companies with market-ready technology seeking to accelerate commercial deployment. Applications are currently open.</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An ideal companion to the Climate Solutions Accelerator for later-stage founders. Non-dilutive and free to apply — the AllEnergy showcase provides direct access to energy sector buyers.</w:t>
      </w:r>
    </w:p>
    <w:p>
      <w:pPr>
        <w:spacing w:before="200" w:after="40"/>
      </w:pPr>
      <w:r>
        <w:rPr>
          <w:rFonts w:ascii="Calibri" w:hAnsi="Calibri"/>
          <w:b/>
          <w:i w:val="0"/>
          <w:color w:val="2C2C2C"/>
          <w:sz w:val="23"/>
          <w:u w:val="none"/>
        </w:rPr>
        <w:t>Hydrogen Headstart — Round 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Hydrogen Production Tax Incentive ($2/kg refundable tax offset from 1 July 2027) is designed to complement Headstart, bridging the revenue gap until market prices reach parity.</w:t>
      </w:r>
    </w:p>
    <w:p>
      <w:pPr>
        <w:spacing w:before="200" w:after="40"/>
      </w:pPr>
      <w:r>
        <w:rPr>
          <w:rFonts w:ascii="Calibri" w:hAnsi="Calibri"/>
          <w:b/>
          <w:i w:val="0"/>
          <w:color w:val="2C2C2C"/>
          <w:sz w:val="23"/>
          <w:u w:val="none"/>
        </w:rPr>
        <w:t>Industry Growth Program (IGP)</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national programs directly supporting cleantech SMEs at early stage. Apply urgently — the pool is depleting. The NRF Net Zero Fund (concessional debt/equity, $3B+) is expected to open mid-2026 as a growth-stage complement.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NRF Net Zero Fund expected to open mid-2026 for larger growth-stage capital needs.</w:t>
      </w:r>
    </w:p>
    <w:p>
      <w:pPr>
        <w:spacing w:before="200" w:after="40"/>
      </w:pPr>
      <w:r>
        <w:rPr>
          <w:rFonts w:ascii="Calibri" w:hAnsi="Calibri"/>
          <w:b/>
          <w:i w:val="0"/>
          <w:color w:val="2C2C2C"/>
          <w:sz w:val="23"/>
          <w:u w:val="none"/>
        </w:rPr>
        <w:t>Main Sequence Ventures — Fund III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MSEQ is the largest LP in CSIRO's A$150M commitment through Australia's Economic Accelerator (AEA). Startups coming through AEA Ignite/Innovate have a natural pathway to MSEQ consideration.</w:t>
      </w:r>
    </w:p>
    <w:p>
      <w:pPr>
        <w:spacing w:before="200" w:after="40"/>
      </w:pPr>
      <w:r>
        <w:rPr>
          <w:rFonts w:ascii="Calibri" w:hAnsi="Calibri"/>
          <w:b/>
          <w:i w:val="0"/>
          <w:color w:val="2C2C2C"/>
          <w:sz w:val="23"/>
          <w:u w:val="none"/>
        </w:rPr>
        <w:t>National Reconstruction Fund — Net Zero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NRFC general portfolio (NRF priority areas, commercial terms) is already open. The Net Zero sub-fund will layer on additional concessionality from mid-2026. Register interest at nrf.gov.au.</w:t>
      </w:r>
    </w:p>
    <w:p>
      <w:pPr>
        <w:spacing w:before="200" w:after="40"/>
      </w:pPr>
      <w:r>
        <w:rPr>
          <w:rFonts w:ascii="Calibri" w:hAnsi="Calibri"/>
          <w:b/>
          <w:i w:val="0"/>
          <w:color w:val="2C2C2C"/>
          <w:sz w:val="23"/>
          <w:u w:val="none"/>
        </w:rPr>
        <w:t>R&amp;D Tax Incentive (R&amp;DTI)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Consult an R&amp;D tax specialist before lodging — the ATO audits R&amp;D claims closely and requires contemporaneous records of technical uncertainty, hypothesis, experiments, and outcomes.</w:t>
      </w:r>
    </w:p>
    <w:p>
      <w:pPr>
        <w:spacing w:before="200" w:after="40"/>
      </w:pPr>
      <w:r>
        <w:rPr>
          <w:rFonts w:ascii="Calibri" w:hAnsi="Calibri"/>
          <w:b/>
          <w:i w:val="0"/>
          <w:color w:val="2C2C2C"/>
          <w:sz w:val="23"/>
          <w:u w:val="none"/>
        </w:rPr>
        <w:t>Startmate Accelerator — Winter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highest-profile generalist accelerator in Australia with a strong climate-tech track record. Strong network effects: the Startmate community of founders, operators, and investors is one of Australia's most active and supportive.</w:t>
      </w:r>
    </w:p>
    <w:p>
      <w:pPr>
        <w:spacing w:before="200" w:after="40"/>
      </w:pPr>
      <w:r>
        <w:rPr>
          <w:rFonts w:ascii="Calibri" w:hAnsi="Calibri"/>
          <w:b/>
          <w:i w:val="0"/>
          <w:color w:val="2C2C2C"/>
          <w:sz w:val="23"/>
          <w:u w:val="none"/>
        </w:rPr>
        <w:t>State &amp; territory programs</w:t>
      </w:r>
    </w:p>
    <w:p>
      <w:pPr>
        <w:spacing w:before="200" w:after="40"/>
      </w:pPr>
      <w:r>
        <w:rPr>
          <w:rFonts w:ascii="Calibri" w:hAnsi="Calibri"/>
          <w:b/>
          <w:i w:val="0"/>
          <w:color w:val="2C2C2C"/>
          <w:sz w:val="23"/>
          <w:u w:val="none"/>
        </w:rPr>
        <w:t>ACT: Energy Innovation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ACT's primary grant channel for early-stage energy innovation, particularly valuable for startups seeking a smaller pilot-scale test market before national rollout. The quarterly rolling assessment means no fixed deadline pressure.</w:t>
      </w:r>
    </w:p>
    <w:p>
      <w:pPr>
        <w:spacing w:before="200" w:after="40"/>
      </w:pPr>
      <w:r>
        <w:rPr>
          <w:rFonts w:ascii="Calibri" w:hAnsi="Calibri"/>
          <w:b/>
          <w:i w:val="0"/>
          <w:color w:val="2C2C2C"/>
          <w:sz w:val="23"/>
          <w:u w:val="none"/>
        </w:rPr>
        <w:t>NSW: I2N Cleantech Accelerator — University of Newcastle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sector-specific cleantech accelerators outside Sydney and Melbourne, with genuine depth in clean energy and recycling commercialisation. TRaCE funding gives it stronger resource backing than typical university accelerators.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Applications typically open April, with an info session in May and programme starting August. Monitor hunternewenergy.com.au for next cohort announcements.</w:t>
      </w:r>
    </w:p>
    <w:p>
      <w:pPr>
        <w:spacing w:before="200" w:after="40"/>
      </w:pPr>
      <w:r>
        <w:rPr>
          <w:rFonts w:ascii="Calibri" w:hAnsi="Calibri"/>
          <w:b/>
          <w:i w:val="0"/>
          <w:color w:val="2C2C2C"/>
          <w:sz w:val="23"/>
          <w:u w:val="none"/>
        </w:rPr>
        <w:t>NSW Net Zero Manufacturing Initiative (NZMI)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substantial manufacturing-focused cleantech grant program in NSW. CTI's commercialisation stream ($250K–$5M) is directly relevant to startups with validated technology seeking production scale-up capital.</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Register interest at energy.nsw.gov.au/NZMI for Round 2 notification. Round 2 construction-ready streams expected to carry larger pools than Round 1.</w:t>
      </w:r>
    </w:p>
    <w:p>
      <w:pPr>
        <w:spacing w:before="200" w:after="40"/>
      </w:pPr>
      <w:r>
        <w:rPr>
          <w:rFonts w:ascii="Calibri" w:hAnsi="Calibri"/>
          <w:b/>
          <w:i w:val="0"/>
          <w:color w:val="2C2C2C"/>
          <w:sz w:val="23"/>
          <w:u w:val="none"/>
        </w:rPr>
        <w:t>NSW: UNSW Climate 10x Accelerator (TRaCE Trailblazer)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Federal Trailblazer funding means this program has significant resources for participants compared to standard accelerators. Clean energy and recycling sectors particularly well served.</w:t>
      </w:r>
    </w:p>
    <w:p>
      <w:pPr>
        <w:spacing w:before="200" w:after="40"/>
      </w:pPr>
      <w:r>
        <w:rPr>
          <w:rFonts w:ascii="Calibri" w:hAnsi="Calibri"/>
          <w:b/>
          <w:i w:val="0"/>
          <w:color w:val="2C2C2C"/>
          <w:sz w:val="23"/>
          <w:u w:val="none"/>
        </w:rPr>
        <w:t>QLD: Advance Queensland — Ignite Ideas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non-dilutive commercialisation grant for Queensland startups. Monitor advance.qld.gov.au for Round 13 opening dates.</w:t>
      </w:r>
    </w:p>
    <w:p>
      <w:pPr>
        <w:spacing w:before="200" w:after="40"/>
      </w:pPr>
      <w:r>
        <w:rPr>
          <w:rFonts w:ascii="Calibri" w:hAnsi="Calibri"/>
          <w:b/>
          <w:i w:val="0"/>
          <w:color w:val="2C2C2C"/>
          <w:sz w:val="23"/>
          <w:u w:val="none"/>
        </w:rPr>
        <w:t>SA: Green Industries SA — Circular Economy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SA's primary cleantech/circular economy grant channel. Businesses in materials, waste-to-energy, and recycling sectors should register their interest with GISA directly.</w:t>
      </w:r>
    </w:p>
    <w:p>
      <w:pPr>
        <w:spacing w:before="200" w:after="40"/>
      </w:pPr>
      <w:r>
        <w:rPr>
          <w:rFonts w:ascii="Calibri" w:hAnsi="Calibri"/>
          <w:b/>
          <w:i w:val="0"/>
          <w:color w:val="2C2C2C"/>
          <w:sz w:val="23"/>
          <w:u w:val="none"/>
        </w:rPr>
        <w:t>TAS: ReCFIT Climate Change Business Innovation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Tasmania's primary cleantech SME grant. Relatively small pool — early applications are advantaged. Monitor recfit.tas.gov.au for the 2026 round.</w:t>
      </w:r>
    </w:p>
    <w:p>
      <w:pPr>
        <w:spacing w:before="200" w:after="40"/>
      </w:pPr>
      <w:r>
        <w:rPr>
          <w:rFonts w:ascii="Calibri" w:hAnsi="Calibri"/>
          <w:b/>
          <w:i w:val="0"/>
          <w:color w:val="2C2C2C"/>
          <w:sz w:val="23"/>
          <w:u w:val="none"/>
        </w:rPr>
        <w:t>VIC: Breakthrough Victoria — Clean Economy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Victorian cleantech founders should prioritise Virescent Ventures and Boson Ventures as their first equity contacts — BV's co-investment mandate increases deal size and credibility.</w:t>
      </w:r>
    </w:p>
    <w:p>
      <w:pPr>
        <w:spacing w:before="200" w:after="40"/>
      </w:pPr>
      <w:r>
        <w:rPr>
          <w:rFonts w:ascii="Calibri" w:hAnsi="Calibri"/>
          <w:b/>
          <w:i w:val="0"/>
          <w:color w:val="2C2C2C"/>
          <w:sz w:val="23"/>
          <w:u w:val="none"/>
        </w:rPr>
        <w:t>WA: Founders Factory Nature Tech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Western Australia's most direct pathway for early-stage environmental-tech founders. The $7.2M multi-year commitment signals ongoing cohort delivery — monitor foundersfactory.com for next intake.</w:t>
      </w:r>
    </w:p>
    <w:p>
      <w:pPr>
        <w:spacing w:before="320" w:after="0"/>
      </w:pPr>
    </w:p>
    <w:p>
      <w:pPr>
        <w:spacing w:before="40" w:after="40"/>
        <w:pBdr>
          <w:bottom w:val="single" w:sz="6" w:space="1" w:color="AAAAAA"/>
        </w:pBdr>
      </w:pPr>
    </w:p>
    <w:p>
      <w:pPr>
        <w:spacing w:before="80" w:after="0"/>
      </w:pPr>
      <w:r>
        <w:rPr>
          <w:rFonts w:ascii="Calibri" w:hAnsi="Calibri"/>
          <w:b w:val="0"/>
          <w:i/>
          <w:color w:val="555555"/>
          <w:sz w:val="18"/>
          <w:u w:val="none"/>
        </w:rPr>
        <w:t>© GG Advisory  |  gg-advisory.org  |  Monthly digest — for strategic informational purposes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mc.gov.au/news-centre/media-releases/aemc-commences-review-electricity-network-regulation" TargetMode="External"/><Relationship Id="rId10" Type="http://schemas.openxmlformats.org/officeDocument/2006/relationships/hyperlink" Target="https://www.aemc.gov.au/news-centre/media-releases/aemc-finalises-stage-2-gas-reforms-strengthen-east-coast-gas-system-reliability" TargetMode="External"/><Relationship Id="rId11" Type="http://schemas.openxmlformats.org/officeDocument/2006/relationships/hyperlink" Target="https://www.efrag.org/en/news-and-calendar/news/efrag-releases-the-second-edition-of-the-mappings-of-digital-tools-platforms-and-initiatives-for" TargetMode="External"/><Relationship Id="rId12" Type="http://schemas.openxmlformats.org/officeDocument/2006/relationships/hyperlink" Target="https://www.ifrs.org/content/ifrs/home/news-and-events/updates/issb/2026/issb-update-june-2026.html" TargetMode="External"/><Relationship Id="rId13" Type="http://schemas.openxmlformats.org/officeDocument/2006/relationships/hyperlink" Target="https://www.esgtoday.com/generation-im-raises-over-1-billion-for-sustainable-transformation-focused-private-equity-fund/" TargetMode="External"/><Relationship Id="rId14" Type="http://schemas.openxmlformats.org/officeDocument/2006/relationships/hyperlink" Target="https://igcc.org.au/new-resource-introducing-just-adaptation-for-institutional-inves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