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val="0"/>
          <w:i w:val="0"/>
          <w:color w:val="555555"/>
          <w:sz w:val="20"/>
          <w:u w:val="none"/>
        </w:rPr>
        <w:t>GG Advisory  |  Monthly Signals Digest</w:t>
      </w:r>
    </w:p>
    <w:p>
      <w:pPr>
        <w:spacing w:before="0" w:after="120"/>
      </w:pPr>
      <w:r>
        <w:rPr>
          <w:rFonts w:ascii="Calibri" w:hAnsi="Calibri"/>
          <w:b/>
          <w:i w:val="0"/>
          <w:color w:val="1B7A6B"/>
          <w:sz w:val="44"/>
          <w:u w:val="none"/>
        </w:rPr>
        <w:t>May 2026</w:t>
      </w:r>
    </w:p>
    <w:p>
      <w:pPr>
        <w:spacing w:before="40" w:after="40"/>
        <w:pBdr>
          <w:bottom w:val="single" w:sz="18" w:space="1" w:color="1B7A6B"/>
        </w:pBdr>
      </w:pPr>
    </w:p>
    <w:p>
      <w:pPr>
        <w:spacing w:before="200" w:after="80"/>
      </w:pPr>
      <w:r>
        <w:rPr>
          <w:rFonts w:ascii="Calibri" w:hAnsi="Calibri"/>
          <w:b/>
          <w:i w:val="0"/>
          <w:color w:val="2C2C2C"/>
          <w:sz w:val="24"/>
          <w:u w:val="single"/>
        </w:rPr>
        <w:t>Top Lines</w:t>
      </w:r>
    </w:p>
    <w:p>
      <w:pPr>
        <w:pStyle w:val="ListBullet"/>
        <w:spacing w:before="40" w:after="40"/>
      </w:pPr>
      <w:r>
        <w:rPr>
          <w:rFonts w:ascii="Calibri" w:hAnsi="Calibri"/>
          <w:b w:val="0"/>
          <w:i w:val="0"/>
          <w:color w:val="2C2C2C"/>
          <w:sz w:val="22"/>
          <w:u w:val="none"/>
        </w:rPr>
        <w:t>The Australian Energy Market Commission (AEMC) proposes updating the reliability standard to 0.003% expected unserved energy from 1 July 2028.</w:t>
      </w:r>
    </w:p>
    <w:p>
      <w:pPr>
        <w:pStyle w:val="ListBullet"/>
        <w:spacing w:before="40" w:after="40"/>
      </w:pPr>
      <w:r>
        <w:rPr>
          <w:rFonts w:ascii="Calibri" w:hAnsi="Calibri"/>
          <w:b w:val="0"/>
          <w:i w:val="0"/>
          <w:color w:val="2C2C2C"/>
          <w:sz w:val="22"/>
          <w:u w:val="none"/>
        </w:rPr>
        <w:t>The 2026-27 Federal Budget cuts approximately $2 billion from clean energy programs, risking investment in the sector.</w:t>
      </w:r>
    </w:p>
    <w:p>
      <w:pPr>
        <w:pStyle w:val="ListBullet"/>
        <w:spacing w:before="40" w:after="40"/>
      </w:pPr>
      <w:r>
        <w:rPr>
          <w:rFonts w:ascii="Calibri" w:hAnsi="Calibri"/>
          <w:b w:val="0"/>
          <w:i w:val="0"/>
          <w:color w:val="2C2C2C"/>
          <w:sz w:val="22"/>
          <w:u w:val="none"/>
        </w:rPr>
        <w:t>The International Sustainability Standards Board (ISSB) discusses new disclosure requirements for nature-related opportunities.</w:t>
      </w:r>
    </w:p>
    <w:p>
      <w:pPr>
        <w:spacing w:before="280" w:after="0"/>
      </w:pPr>
    </w:p>
    <w:p>
      <w:pPr>
        <w:spacing w:before="0" w:after="80"/>
      </w:pPr>
      <w:r>
        <w:rPr>
          <w:rFonts w:ascii="Calibri" w:hAnsi="Calibri"/>
          <w:b/>
          <w:i w:val="0"/>
          <w:color w:val="1B7A6B"/>
          <w:sz w:val="26"/>
          <w:u w:val="single"/>
        </w:rPr>
        <w:t>ENERGY TRANSITION</w:t>
      </w:r>
    </w:p>
    <w:p>
      <w:pPr>
        <w:spacing w:before="40" w:after="40"/>
        <w:pBdr>
          <w:bottom w:val="single" w:sz="8" w:space="1" w:color="1B7A6B"/>
        </w:pBdr>
      </w:pPr>
    </w:p>
    <w:p>
      <w:pPr>
        <w:spacing w:before="200" w:after="40"/>
      </w:pPr>
      <w:r>
        <w:rPr>
          <w:rFonts w:ascii="Calibri" w:hAnsi="Calibri"/>
          <w:b/>
          <w:i w:val="0"/>
          <w:color w:val="2C2C2C"/>
          <w:sz w:val="23"/>
          <w:u w:val="none"/>
        </w:rPr>
        <w:t>Batteries Central to Renewable Energy Zones Development</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20 May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Victoria Mollard from the AEMC highlighted the increasing role of batteries in the National Electricity Market (NEM), with utility-scale and behind-the-meter battery capacity reaching 8 GW by the end of last year. The AEMC is reviewing the ISP framework and electricity network regulation to support a more dynamic energy system. The Reliability Panel proposes updating the reliability standard to 0.003% expected unserved energy from 1 July 2028.</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Boards should evaluate battery integration strategies in renewable energy zones to enhance system reliability and meet future standards.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Final determination on grid standards for large loads expected later this year.</w:t>
      </w:r>
    </w:p>
    <w:p>
      <w:pPr>
        <w:spacing w:before="40" w:after="120"/>
      </w:pPr>
      <w:r>
        <w:rPr>
          <w:rFonts w:ascii="Calibri" w:hAnsi="Calibri"/>
          <w:b/>
          <w:i w:val="0"/>
          <w:color w:val="555555"/>
          <w:sz w:val="21"/>
          <w:u w:val="none"/>
        </w:rPr>
        <w:t xml:space="preserve">Source:  </w:t>
      </w:r>
      <w:hyperlink r:id="rId9" w:history="1">
        <w:r>
          <w:rPr>
            <w:rStyle w:val="Hyperlink"/>
            <w:color w:val="005EA2"/>
            <w:sz w:val="22"/>
            <w:szCs w:val="22"/>
          </w:rPr>
          <w:t>AEMC</w:t>
        </w:r>
      </w:hyperlink>
    </w:p>
    <w:p>
      <w:pPr>
        <w:spacing w:before="200" w:after="40"/>
      </w:pPr>
      <w:r>
        <w:rPr>
          <w:rFonts w:ascii="Calibri" w:hAnsi="Calibri"/>
          <w:b/>
          <w:i w:val="0"/>
          <w:color w:val="2C2C2C"/>
          <w:sz w:val="23"/>
          <w:u w:val="none"/>
        </w:rPr>
        <w:t>National Electricity Grid Meets Reliability Standards</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21 May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Reliability Panel's report confirms the NEM met reliability standards in 2024-25, with no breaches. The report stresses the need for timely investment in new generation and storage to replace coal plants. Consumer energy resources like rooftop solar and batteries are crucial for system reliability, with battery storage investment rising by 40%.</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Energy companies should prioritize investments in consumer energy resources to maintain grid reliability and capitalize on growing renewable integration.</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Feedback on new inertia procurement measures is being sought for future reports.</w:t>
      </w:r>
    </w:p>
    <w:p>
      <w:pPr>
        <w:spacing w:before="40" w:after="120"/>
      </w:pPr>
      <w:r>
        <w:rPr>
          <w:rFonts w:ascii="Calibri" w:hAnsi="Calibri"/>
          <w:b/>
          <w:i w:val="0"/>
          <w:color w:val="555555"/>
          <w:sz w:val="21"/>
          <w:u w:val="none"/>
        </w:rPr>
        <w:t xml:space="preserve">Source:  </w:t>
      </w:r>
      <w:hyperlink r:id="rId10" w:history="1">
        <w:r>
          <w:rPr>
            <w:rStyle w:val="Hyperlink"/>
            <w:color w:val="005EA2"/>
            <w:sz w:val="22"/>
            <w:szCs w:val="22"/>
          </w:rPr>
          <w:t>AEMC</w:t>
        </w:r>
      </w:hyperlink>
    </w:p>
    <w:p>
      <w:pPr>
        <w:spacing w:before="280" w:after="0"/>
      </w:pPr>
    </w:p>
    <w:p>
      <w:pPr>
        <w:spacing w:before="0" w:after="80"/>
      </w:pPr>
      <w:r>
        <w:rPr>
          <w:rFonts w:ascii="Calibri" w:hAnsi="Calibri"/>
          <w:b/>
          <w:i w:val="0"/>
          <w:color w:val="1B7A6B"/>
          <w:sz w:val="26"/>
          <w:u w:val="single"/>
        </w:rPr>
        <w:t>ESG REPORTING</w:t>
      </w:r>
    </w:p>
    <w:p>
      <w:pPr>
        <w:spacing w:before="40" w:after="40"/>
        <w:pBdr>
          <w:bottom w:val="single" w:sz="8" w:space="1" w:color="1B7A6B"/>
        </w:pBdr>
      </w:pPr>
    </w:p>
    <w:p>
      <w:pPr>
        <w:spacing w:before="200" w:after="40"/>
      </w:pPr>
      <w:r>
        <w:rPr>
          <w:rFonts w:ascii="Calibri" w:hAnsi="Calibri"/>
          <w:b/>
          <w:i w:val="0"/>
          <w:color w:val="2C2C2C"/>
          <w:sz w:val="23"/>
          <w:u w:val="none"/>
        </w:rPr>
        <w:t>EFRAG Calls for Tender on Non-EU Reporting Standards</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21 May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EFRAG issued a call for tender to conduct a cost-benefit analysis for developing European Sustainability Reporting Standards (ESRS) for non-EU companies. This initiative aims to ensure transparency and accountability for non-EU companies operating in the EU market. The preliminary analysis is due by late-September 2026, with the final report by January 2027.</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Australian companies with significant EU operations should prepare for potential new reporting requirements and assess compliance costs.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The release of the Exposure Draft for consultation in mid-July 2026.</w:t>
      </w:r>
    </w:p>
    <w:p>
      <w:pPr>
        <w:spacing w:before="40" w:after="120"/>
      </w:pPr>
      <w:r>
        <w:rPr>
          <w:rFonts w:ascii="Calibri" w:hAnsi="Calibri"/>
          <w:b/>
          <w:i w:val="0"/>
          <w:color w:val="555555"/>
          <w:sz w:val="21"/>
          <w:u w:val="none"/>
        </w:rPr>
        <w:t xml:space="preserve">Source:  </w:t>
      </w:r>
      <w:hyperlink r:id="rId11" w:history="1">
        <w:r>
          <w:rPr>
            <w:rStyle w:val="Hyperlink"/>
            <w:color w:val="005EA2"/>
            <w:sz w:val="22"/>
            <w:szCs w:val="22"/>
          </w:rPr>
          <w:t>EFRAG</w:t>
        </w:r>
      </w:hyperlink>
    </w:p>
    <w:p>
      <w:pPr>
        <w:spacing w:before="200" w:after="40"/>
      </w:pPr>
      <w:r>
        <w:rPr>
          <w:rFonts w:ascii="Calibri" w:hAnsi="Calibri"/>
          <w:b/>
          <w:i w:val="0"/>
          <w:color w:val="2C2C2C"/>
          <w:sz w:val="23"/>
          <w:u w:val="none"/>
        </w:rPr>
        <w:t>ISSB Discusses Nature-Related Disclosure Requirements</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1 May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ISSB discussed the use of scenario analysis for nature-related risks and opportunities. They decided to require disclosures on how entities use scenario analysis to identify nature-related opportunities and assess risks. These decisions aim to enhance transparency in sustainability reporting.</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Companies should review their sustainability reporting processes to incorporate scenario analysis for nature-related risks and opportunities.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Ongoing discussions on the project and potential updates to IFRS Sustainability Disclosure Standards.</w:t>
      </w:r>
    </w:p>
    <w:p>
      <w:pPr>
        <w:spacing w:before="40" w:after="120"/>
      </w:pPr>
      <w:r>
        <w:rPr>
          <w:rFonts w:ascii="Calibri" w:hAnsi="Calibri"/>
          <w:b/>
          <w:i w:val="0"/>
          <w:color w:val="555555"/>
          <w:sz w:val="21"/>
          <w:u w:val="none"/>
        </w:rPr>
        <w:t xml:space="preserve">Source:  </w:t>
      </w:r>
      <w:hyperlink r:id="rId12" w:history="1">
        <w:r>
          <w:rPr>
            <w:rStyle w:val="Hyperlink"/>
            <w:color w:val="005EA2"/>
            <w:sz w:val="22"/>
            <w:szCs w:val="22"/>
          </w:rPr>
          <w:t>IFRS</w:t>
        </w:r>
      </w:hyperlink>
    </w:p>
    <w:p>
      <w:pPr>
        <w:spacing w:before="280" w:after="0"/>
      </w:pPr>
    </w:p>
    <w:p>
      <w:pPr>
        <w:spacing w:before="0" w:after="80"/>
      </w:pPr>
      <w:r>
        <w:rPr>
          <w:rFonts w:ascii="Calibri" w:hAnsi="Calibri"/>
          <w:b/>
          <w:i w:val="0"/>
          <w:color w:val="1B7A6B"/>
          <w:sz w:val="26"/>
          <w:u w:val="single"/>
        </w:rPr>
        <w:t>SUSTAINABLE FINANCE &amp; INVESTMENT</w:t>
      </w:r>
    </w:p>
    <w:p>
      <w:pPr>
        <w:spacing w:before="40" w:after="40"/>
        <w:pBdr>
          <w:bottom w:val="single" w:sz="8" w:space="1" w:color="1B7A6B"/>
        </w:pBdr>
      </w:pPr>
    </w:p>
    <w:p>
      <w:pPr>
        <w:spacing w:before="200" w:after="40"/>
      </w:pPr>
      <w:r>
        <w:rPr>
          <w:rFonts w:ascii="Calibri" w:hAnsi="Calibri"/>
          <w:b/>
          <w:i w:val="0"/>
          <w:color w:val="2C2C2C"/>
          <w:sz w:val="23"/>
          <w:u w:val="none"/>
        </w:rPr>
        <w:t>DigitalBridge Acquires ArcLight for $1 Billion</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29 May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DigitalBridge, a digital infrastructure-focused asset manager, acquired ArcLight Capital Partners, an electrification infrastructure investor, for $1 billion. This acquisition aims to expand DigitalBridge's portfolio in the electrification and renewable energy sectors.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Investors should consider the implications of this acquisition on the electrification infrastructure market and potential investment opportunities.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Integration plans and strategic directions from DigitalBridge post-acquisition.</w:t>
      </w:r>
    </w:p>
    <w:p>
      <w:pPr>
        <w:spacing w:before="40" w:after="120"/>
      </w:pPr>
      <w:r>
        <w:rPr>
          <w:rFonts w:ascii="Calibri" w:hAnsi="Calibri"/>
          <w:b/>
          <w:i w:val="0"/>
          <w:color w:val="555555"/>
          <w:sz w:val="21"/>
          <w:u w:val="none"/>
        </w:rPr>
        <w:t xml:space="preserve">Source:  </w:t>
      </w:r>
      <w:hyperlink r:id="rId13" w:history="1">
        <w:r>
          <w:rPr>
            <w:rStyle w:val="Hyperlink"/>
            <w:color w:val="005EA2"/>
            <w:sz w:val="22"/>
            <w:szCs w:val="22"/>
          </w:rPr>
          <w:t>ESG Today</w:t>
        </w:r>
      </w:hyperlink>
    </w:p>
    <w:p>
      <w:pPr>
        <w:spacing w:before="200" w:after="40"/>
      </w:pPr>
      <w:r>
        <w:rPr>
          <w:rFonts w:ascii="Calibri" w:hAnsi="Calibri"/>
          <w:b/>
          <w:i w:val="0"/>
          <w:color w:val="2C2C2C"/>
          <w:sz w:val="23"/>
          <w:u w:val="none"/>
        </w:rPr>
        <w:t>Budget Risks Investment in Clean Energy and Industry</w:t>
      </w:r>
    </w:p>
    <w:p>
      <w:pPr>
        <w:spacing w:before="0" w:after="40"/>
      </w:pPr>
      <w:r>
        <w:rPr>
          <w:rFonts w:ascii="Calibri" w:hAnsi="Calibri"/>
          <w:b/>
          <w:i w:val="0"/>
          <w:color w:val="555555"/>
          <w:sz w:val="21"/>
          <w:u w:val="none"/>
        </w:rPr>
        <w:t xml:space="preserve">Published:  </w:t>
      </w:r>
      <w:r>
        <w:rPr>
          <w:rFonts w:ascii="Calibri" w:hAnsi="Calibri"/>
          <w:b w:val="0"/>
          <w:i/>
          <w:color w:val="555555"/>
          <w:sz w:val="21"/>
          <w:u w:val="none"/>
        </w:rPr>
        <w:t>12 May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2026-27 Federal Budget cuts approximately $2 billion from clean energy programs, including $1.3 billion from initiatives like Battery Breakthrough and Hydrogen Headstart. The budget's lack of strong policy signals risks deterring investment in clean energy and industry.</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Boards should reassess their clean energy investment strategies in light of reduced government support and potential impacts on project viability.</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Government announcements on policy adjustments or new funding initiatives for clean energy.</w:t>
      </w:r>
    </w:p>
    <w:p>
      <w:pPr>
        <w:spacing w:before="40" w:after="120"/>
      </w:pPr>
      <w:r>
        <w:rPr>
          <w:rFonts w:ascii="Calibri" w:hAnsi="Calibri"/>
          <w:b/>
          <w:i w:val="0"/>
          <w:color w:val="555555"/>
          <w:sz w:val="21"/>
          <w:u w:val="none"/>
        </w:rPr>
        <w:t xml:space="preserve">Source:  </w:t>
      </w:r>
      <w:hyperlink r:id="rId14" w:history="1">
        <w:r>
          <w:rPr>
            <w:rStyle w:val="Hyperlink"/>
            <w:color w:val="005EA2"/>
            <w:sz w:val="22"/>
            <w:szCs w:val="22"/>
          </w:rPr>
          <w:t>IGCC</w:t>
        </w:r>
      </w:hyperlink>
    </w:p>
    <w:p>
      <w:pPr>
        <w:spacing w:before="280" w:after="0"/>
      </w:pPr>
    </w:p>
    <w:p>
      <w:pPr>
        <w:spacing w:before="0" w:after="80"/>
      </w:pPr>
      <w:r>
        <w:rPr>
          <w:rFonts w:ascii="Calibri" w:hAnsi="Calibri"/>
          <w:b/>
          <w:i w:val="0"/>
          <w:color w:val="1B7A6B"/>
          <w:sz w:val="26"/>
          <w:u w:val="single"/>
        </w:rPr>
        <w:t>CLEANTECH &amp; START-UP ECOSYSTEM — GRANTS &amp; ACCELERATORS RADAR</w:t>
      </w:r>
    </w:p>
    <w:p>
      <w:pPr>
        <w:spacing w:before="40" w:after="40"/>
        <w:pBdr>
          <w:bottom w:val="single" w:sz="8" w:space="1" w:color="1B7A6B"/>
        </w:pBdr>
      </w:pPr>
    </w:p>
    <w:p>
      <w:pPr>
        <w:spacing w:before="200" w:after="40"/>
      </w:pPr>
      <w:r>
        <w:rPr>
          <w:rFonts w:ascii="Calibri" w:hAnsi="Calibri"/>
          <w:b/>
          <w:i w:val="0"/>
          <w:color w:val="2C2C2C"/>
          <w:sz w:val="23"/>
          <w:u w:val="none"/>
        </w:rPr>
        <w:t>Closing soon — deadlines within the next 60 days</w:t>
      </w:r>
    </w:p>
    <w:p>
      <w:pPr>
        <w:spacing w:before="200" w:after="40"/>
      </w:pPr>
      <w:r>
        <w:rPr>
          <w:rFonts w:ascii="Calibri" w:hAnsi="Calibri"/>
          <w:b/>
          <w:i w:val="0"/>
          <w:color w:val="2C2C2C"/>
          <w:sz w:val="23"/>
          <w:u w:val="none"/>
        </w:rPr>
        <w:t>VIC: Circular Economy Recycling Modernisation Fund — Round 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Sustainability Victoria's Round 6 opens $6 million for capital investment in recycling infrastructure, remanufacturing, and resource recovery. For-profit applicants must co-contribute $2 for every $1 of SV funding; local government and not-for-profits match 1:1. Applications submitted via SmartyGrants. Note: Sustainability Victoria is scheduled to be abolished in 2026 following the Silver Review — this may be one of its final grant rounds.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A critical window for Victorian cleantech businesses in the circular economy space, especially given SV's likely abolition. The 1:2 co-contribution requirement means applicants need substantial internal capital or co-investors lined up before applying.</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With SV's abolition flagged for 2026, monitor the Victorian Government for announcements on which agency will absorb the circular economy grant function post-SV.</w:t>
      </w:r>
    </w:p>
    <w:p>
      <w:pPr>
        <w:spacing w:before="200" w:after="40"/>
      </w:pPr>
      <w:r>
        <w:rPr>
          <w:rFonts w:ascii="Calibri" w:hAnsi="Calibri"/>
          <w:b/>
          <w:i w:val="0"/>
          <w:color w:val="2C2C2C"/>
          <w:sz w:val="23"/>
          <w:u w:val="none"/>
        </w:rPr>
        <w:t>National programs — open on a rolling basis</w:t>
      </w:r>
    </w:p>
    <w:p>
      <w:pPr>
        <w:spacing w:before="200" w:after="40"/>
      </w:pPr>
      <w:r>
        <w:rPr>
          <w:rFonts w:ascii="Calibri" w:hAnsi="Calibri"/>
          <w:b/>
          <w:i w:val="0"/>
          <w:color w:val="2C2C2C"/>
          <w:sz w:val="23"/>
          <w:u w:val="none"/>
        </w:rPr>
        <w:t>Australia's Economic Accelerator (AEA) — Ignite &amp; Innovate</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$1.6 billion Economic Accelerator funds university research commercialisation through two streams. Ignite grants (up to $500K, 12 months) support proof-of-concept and laboratory testing; Innovate grants (up to $5M) advance technologies from lab to proof-of-scale via industry-university collaboration. Round 1 allocated over $130M across 194 projects. Climate-tech, energy, and materials ventures regularly feature. Requires a university lead applicant with an industry co-applicant.</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primary pathway for deep-tech climate startups spun out of Australian universities to access non-dilutive federal commercialisation funding. Investors and founders with university IP should engage their tech-transfer office about a joint AEA application.</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Round 2 details and opening dates are published on aea.gov.au. The $1.6B envelope means multiple rounds are expected across 2026–2030.</w:t>
      </w:r>
    </w:p>
    <w:p>
      <w:pPr>
        <w:spacing w:before="200" w:after="40"/>
      </w:pPr>
      <w:r>
        <w:rPr>
          <w:rFonts w:ascii="Calibri" w:hAnsi="Calibri"/>
          <w:b/>
          <w:i w:val="0"/>
          <w:color w:val="2C2C2C"/>
          <w:sz w:val="23"/>
          <w:u w:val="none"/>
        </w:rPr>
        <w:t>ARENA Advancing Renewables Program</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ARENA's foundational program funds development, demonstration, and pre-commercial deployment across all renewable energy and grid technologies. No fixed cap per project; milestone-based disbursement. Submit an EOI in ARENANet — ARENA staff recommend calling before submitting. Recent examples include $5M to a Queensland critical minerals startup (February 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Covers the widest range of clean energy technologies of any national program. Suitable for companies with working prototypes ready for demonstration at scale.</w:t>
      </w:r>
    </w:p>
    <w:p>
      <w:pPr>
        <w:spacing w:before="200" w:after="40"/>
      </w:pPr>
      <w:r>
        <w:rPr>
          <w:rFonts w:ascii="Calibri" w:hAnsi="Calibri"/>
          <w:b/>
          <w:i w:val="0"/>
          <w:color w:val="2C2C2C"/>
          <w:sz w:val="23"/>
          <w:u w:val="none"/>
        </w:rPr>
        <w:t>Future Made in Australia (FMIA) Innovation Fund — ARENA</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ARENA's flagship $1.5 billion fund targets three priority streams: Green Metals ($750M for iron, steel, alumina, aluminium), Renewable Energy Technology Manufacturing ($200M for batteries, solar components, electrolysers), and Low Carbon Liquid Fuels ($250M for sustainable aviation fuel and renewable diesel). Minimum 50% co-contribution required. Grants above $50M require ministerial sign-off. Submit via Expression of Interest in ARENANet.</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largest single cleantech manufacturing opportunity in Australia's history. ARENA encourages early engagement before submitting an EOI — contact their team first.</w:t>
      </w:r>
    </w:p>
    <w:p>
      <w:pPr>
        <w:spacing w:before="200" w:after="40"/>
      </w:pPr>
      <w:r>
        <w:rPr>
          <w:rFonts w:ascii="Calibri" w:hAnsi="Calibri"/>
          <w:b/>
          <w:i w:val="0"/>
          <w:color w:val="2C2C2C"/>
          <w:sz w:val="23"/>
          <w:u w:val="none"/>
        </w:rPr>
        <w:t>Brinc / Artesian Clean Energy Accelerator</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 100% online 3-month accelerator backed by Artesian's Clean Energy Seed Fund, accepting Australian cleantech startups on a rolling basis. Startups receive $150K cash plus $110K in program support in exchange for equity, with follow-on capital of $200K–$2M available for high performers. Focuses on energy transition, renewable energy, and environmental impact reduction. Unique feature: a $30K participation fee is deducted from the investment at acceptance.</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One of the few cleantech-exclusive accelerators in Australia with a rolling application process and clear follow-on capital pathway via Artesian. The online format removes geography barriers.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Artesian's Clean Energy Seed Fund can follow with $200K–$2M. Artesian is also active in CEFC-backed co-investment mandates, providing access to further institutional capital.</w:t>
      </w:r>
    </w:p>
    <w:p>
      <w:pPr>
        <w:spacing w:before="200" w:after="40"/>
      </w:pPr>
      <w:r>
        <w:rPr>
          <w:rFonts w:ascii="Calibri" w:hAnsi="Calibri"/>
          <w:b/>
          <w:i w:val="0"/>
          <w:color w:val="2C2C2C"/>
          <w:sz w:val="23"/>
          <w:u w:val="none"/>
        </w:rPr>
        <w:t>CEFC / Virescent Ventures Fund II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largest dedicated climate-tech venture fund, backed by CEFC, Westpac, QIC, and Breakthrough Victoria. Virescent Ventures Fund II invests from pre-seed to late stage across climate hardware, software, and services. Apply directly to Virescent; no fixed application rounds or deadlines. VIC-based companies benefit from Breakthrough Victoria's 25% allocation requirement.</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For startups that have cleared product-market fit and are ready for institutional equity, this is the most relevant Australian climate-tech fund currently deploying capital.</w:t>
      </w:r>
    </w:p>
    <w:p>
      <w:pPr>
        <w:spacing w:before="200" w:after="40"/>
      </w:pPr>
      <w:r>
        <w:rPr>
          <w:rFonts w:ascii="Calibri" w:hAnsi="Calibri"/>
          <w:b/>
          <w:i w:val="0"/>
          <w:color w:val="2C2C2C"/>
          <w:sz w:val="23"/>
          <w:u w:val="none"/>
        </w:rPr>
        <w:t>CSIRO ON Accelerate — Cohort 12</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premier deep-tech non-dilutive accelerator for research-driven startups. Top teams receive up to $80,000 cash from the program's internal fund. Cohort 11 is underway with a showcase on 11 June 2026 in Melbourne. Cohort 12 applications are expected to open mid-2026. Climate-tech, energy, and materials ventures regularly feature.</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prestigious non-dilutive pathway for early-stage deep-tech founders in Australia. Subscribe to on@csiro.au for early notification when Cohort 12 opens.</w:t>
      </w:r>
    </w:p>
    <w:p>
      <w:pPr>
        <w:spacing w:before="200" w:after="40"/>
      </w:pPr>
      <w:r>
        <w:rPr>
          <w:rFonts w:ascii="Calibri" w:hAnsi="Calibri"/>
          <w:b/>
          <w:i w:val="0"/>
          <w:color w:val="2C2C2C"/>
          <w:sz w:val="23"/>
          <w:u w:val="none"/>
        </w:rPr>
        <w:t>EnergyLab Scaleup Program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EnergyLab's non-dilutive Scaleup Program runs June–October 2026 across three structured modules, culminating in a public showcase at the AllEnergy Conference in October 2026. Designed for startups and energy companies with market-ready technology seeking to accelerate commercial deployment. Applications are currently open.</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An ideal companion to the Climate Solutions Accelerator for later-stage founders. Non-dilutive and free to apply — the AllEnergy showcase provides direct access to energy sector buyers.</w:t>
      </w:r>
    </w:p>
    <w:p>
      <w:pPr>
        <w:spacing w:before="200" w:after="40"/>
      </w:pPr>
      <w:r>
        <w:rPr>
          <w:rFonts w:ascii="Calibri" w:hAnsi="Calibri"/>
          <w:b/>
          <w:i w:val="0"/>
          <w:color w:val="2C2C2C"/>
          <w:sz w:val="23"/>
          <w:u w:val="none"/>
        </w:rPr>
        <w:t>Hydrogen Headstart — Round 2</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Round 2 of ARENA's Hydrogen Headstart program provides up to $2 billion in Headstart Production Credits — revenue support per kilogram of renewable hydrogen produced over a 10-year operational period. Structured as a two-stage competitive process (EOI then Full Application). Eligible projects produce renewable hydrogen or derivatives such as green ammonia, methanol, or green metals at commercial scale. Part of the Future Made in Australia plan.</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primary federal subsidy mechanism for first-mover commercial-scale green hydrogen projects. The per-kg production credit structure de-risks offtake economics for large projects. Contact ARENA early via hydrogenheadstart@arena.gov.au before submitting an EOI.</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The Hydrogen Production Tax Incentive ($2/kg refundable tax offset from 1 July 2027) is designed to complement Headstart, bridging the revenue gap until market prices reach parity.</w:t>
      </w:r>
    </w:p>
    <w:p>
      <w:pPr>
        <w:spacing w:before="200" w:after="40"/>
      </w:pPr>
      <w:r>
        <w:rPr>
          <w:rFonts w:ascii="Calibri" w:hAnsi="Calibri"/>
          <w:b/>
          <w:i w:val="0"/>
          <w:color w:val="2C2C2C"/>
          <w:sz w:val="23"/>
          <w:u w:val="none"/>
        </w:rPr>
        <w:t>Industry Growth Program (IGP)</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federal government's primary SME commercialisation program offers matched grants aligned with National Reconstruction Fund priorities including renewables, low-emissions technologies, and critical minerals. Tier 1: Early-Stage Commercialisation ($50K–$250K, dollar-for-dollar matched). Tier 2: Commercialisation &amp; Growth ($100K–$5M). Applications are always open but approximately 90% of the initial funding pool was projected to be spent by June 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One of the only national programs directly supporting cleantech SMEs at early stage. Apply urgently — the pool is depleting. The NRF Net Zero Fund (concessional debt/equity, $3B+) is expected to open mid-2026 as a growth-stage complement.</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NRF Net Zero Fund expected to open mid-2026 for larger growth-stage capital needs.</w:t>
      </w:r>
    </w:p>
    <w:p>
      <w:pPr>
        <w:spacing w:before="200" w:after="40"/>
      </w:pPr>
      <w:r>
        <w:rPr>
          <w:rFonts w:ascii="Calibri" w:hAnsi="Calibri"/>
          <w:b/>
          <w:i w:val="0"/>
          <w:color w:val="2C2C2C"/>
          <w:sz w:val="23"/>
          <w:u w:val="none"/>
        </w:rPr>
        <w:t>Main Sequence Ventures — Fund III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Main Sequence Ventures, the CSIRO-founded deeptech VC, completed the first close of its A$450M Fund III in 2025 with LPs including CSIRO, Hostplus, Australian Ethical Investment, Temasek, and the Grantham Foundation. Fund III focuses on fibres, food, decarbonisation, and advanced manufacturing. MSEQ leverages CSIRO's research network to identify and back scientists turning discovery-stage research into transformative businesses. Total AUM now A$1B.</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credible path to institutional equity for CSIRO-affiliated or research-backed climate and materials startups. MSEQ's CSIRO connection provides unique IP access, lab infrastructure, and strategic validation that no other Australian VC can replicate.</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MSEQ is the largest LP in CSIRO's A$150M commitment through Australia's Economic Accelerator (AEA). Startups coming through AEA Ignite/Innovate have a natural pathway to MSEQ consideration.</w:t>
      </w:r>
    </w:p>
    <w:p>
      <w:pPr>
        <w:spacing w:before="200" w:after="40"/>
      </w:pPr>
      <w:r>
        <w:rPr>
          <w:rFonts w:ascii="Calibri" w:hAnsi="Calibri"/>
          <w:b/>
          <w:i w:val="0"/>
          <w:color w:val="2C2C2C"/>
          <w:sz w:val="23"/>
          <w:u w:val="none"/>
        </w:rPr>
        <w:t>National Reconstruction Fund — Net Zero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federal government's $5 billion Net Zero Fund within the NRF will provide highly concessional debt, equity, and guarantees to support industrial decarbonisation and scale-up of domestic low-emissions manufacturing. It targets large-scale facilities decarbonising operations and hard-to-abate sectors. Unlike the Industry Growth Program (which suits SMEs), this fund is designed for capital-intensive projects requiring tens to hundreds of millions of dollars. Full design has been finalised; implementation expected mid-2026.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significant new source of concessional growth-stage finance for deep industrial decarbonisation in Australia's history. Climate-tech ventures in green metals, sustainable fuels, or large-scale manufacturing should begin relationship-building with NRFC now.</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The NRFC general portfolio (NRF priority areas, commercial terms) is already open. The Net Zero sub-fund will layer on additional concessionality from mid-2026. Register interest at nrf.gov.au.</w:t>
      </w:r>
    </w:p>
    <w:p>
      <w:pPr>
        <w:spacing w:before="200" w:after="40"/>
      </w:pPr>
      <w:r>
        <w:rPr>
          <w:rFonts w:ascii="Calibri" w:hAnsi="Calibri"/>
          <w:b/>
          <w:i w:val="0"/>
          <w:color w:val="2C2C2C"/>
          <w:sz w:val="23"/>
          <w:u w:val="none"/>
        </w:rPr>
        <w:t>R&amp;D Tax Incentive (R&amp;DTI)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Australia's largest innovation incentive offers a 43.5% refundable tax offset on eligible R&amp;D expenditure for SMEs with turnover under $20M — effectively a cash rebate on R&amp;D costs. Eligible costs include wages for R&amp;D staff, contractor costs, and materials used in trials. Larger companies receive a non-refundable offset based on R&amp;D intensity. Register R&amp;D activities with DISR (via business.gov.au) before claiming in your tax return; registration must be lodged within 10 months of financial year end. The eligible expenditure cap was increased to $150M in recent amendments.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For any climate-tech startup conducting genuine technical experimentation — hardware prototypes, novel software, new materials processes — this is the single most accessible cash injection available. It's not a competitive grant; all eligible companies receive the offset.</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Consult an R&amp;D tax specialist before lodging — the ATO audits R&amp;D claims closely and requires contemporaneous records of technical uncertainty, hypothesis, experiments, and outcomes.</w:t>
      </w:r>
    </w:p>
    <w:p>
      <w:pPr>
        <w:spacing w:before="200" w:after="40"/>
      </w:pPr>
      <w:r>
        <w:rPr>
          <w:rFonts w:ascii="Calibri" w:hAnsi="Calibri"/>
          <w:b/>
          <w:i w:val="0"/>
          <w:color w:val="2C2C2C"/>
          <w:sz w:val="23"/>
          <w:u w:val="none"/>
        </w:rPr>
        <w:t>Startmate Accelerator — Winter 2026</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Startmate runs Australia and New Zealand's most prominent 12-week accelerator twice per year (Summer: Feb–May; Winter: Aug–Nov). Climate-tech is a recognised priority sector and previous cohorts received CEFC Innovation Fund backing of $50K per company. Applications for the Winter 2026 cohort are expected to open June–July 2026. Startmate invests $120K for equity; valuation matched to prior rounds for founders who have already raised. Selection is mentor-driven across 3 stages over 3 weeks.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highest-profile generalist accelerator in Australia with a strong climate-tech track record. Strong network effects: the Startmate community of founders, operators, and investors is one of Australia's most active and supportive.</w:t>
      </w:r>
    </w:p>
    <w:p>
      <w:pPr>
        <w:spacing w:before="200" w:after="40"/>
      </w:pPr>
      <w:r>
        <w:rPr>
          <w:rFonts w:ascii="Calibri" w:hAnsi="Calibri"/>
          <w:b/>
          <w:i w:val="0"/>
          <w:color w:val="2C2C2C"/>
          <w:sz w:val="23"/>
          <w:u w:val="none"/>
        </w:rPr>
        <w:t>State &amp; territory programs</w:t>
      </w:r>
    </w:p>
    <w:p>
      <w:pPr>
        <w:spacing w:before="200" w:after="40"/>
      </w:pPr>
      <w:r>
        <w:rPr>
          <w:rFonts w:ascii="Calibri" w:hAnsi="Calibri"/>
          <w:b/>
          <w:i w:val="0"/>
          <w:color w:val="2C2C2C"/>
          <w:sz w:val="23"/>
          <w:u w:val="none"/>
        </w:rPr>
        <w:t>ACT: Energy Innovation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ACT's Energy Innovation Fund (formerly the Renewable Energy Innovation Fund / REIF) has invested $12M since 2016 and was expanded with an additional $19M commitment. Three streams: Technology Demonstration (up to $10M over 5 years, quarterly rolling assessment for energy tech businesses), Policy Challenge ($3.75M for solutions to ACT energy transition policy barriers), and Innovation Ecosystem ($3.25M for accelerator and ecosystem programs). Applications via SmartyGrants.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ACT's primary grant channel for early-stage energy innovation, particularly valuable for startups seeking a smaller pilot-scale test market before national rollout. The quarterly rolling assessment means no fixed deadline pressure.</w:t>
      </w:r>
    </w:p>
    <w:p>
      <w:pPr>
        <w:spacing w:before="200" w:after="40"/>
      </w:pPr>
      <w:r>
        <w:rPr>
          <w:rFonts w:ascii="Calibri" w:hAnsi="Calibri"/>
          <w:b/>
          <w:i w:val="0"/>
          <w:color w:val="2C2C2C"/>
          <w:sz w:val="23"/>
          <w:u w:val="none"/>
        </w:rPr>
        <w:t>NSW: I2N Cleantech Accelerator — University of Newcastle</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 13-week cleantech-specific accelerator run by the University of Newcastle's I2N, backed by the federal Trailblazer for Recycling and Clean Energy (TRaCE) program. Accepts up to 12 teams per cohort across clean energy, recycling, water, transport, and supply chains. All founders receive IP and trademark support from Davies Collison Cave. The programme culminates in a Showcase event; selected companies enter an incubator phase through to June 2027. Open to any founder — no university affiliation required.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One of the only sector-specific cleantech accelerators outside Sydney and Melbourne, with genuine depth in clean energy and recycling commercialisation. TRaCE funding gives it stronger resource backing than typical university accelerators.</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Applications typically open April, with an info session in May and programme starting August. Monitor hunternewenergy.com.au for next cohort announcements.</w:t>
      </w:r>
    </w:p>
    <w:p>
      <w:pPr>
        <w:spacing w:before="200" w:after="40"/>
      </w:pPr>
      <w:r>
        <w:rPr>
          <w:rFonts w:ascii="Calibri" w:hAnsi="Calibri"/>
          <w:b/>
          <w:i w:val="0"/>
          <w:color w:val="2C2C2C"/>
          <w:sz w:val="23"/>
          <w:u w:val="none"/>
        </w:rPr>
        <w:t>NSW Net Zero Manufacturing Initiative (NZMI)</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NSW Government's $275 million Net Zero Manufacturing Initiative spans three streams: Clean Technology Innovation (CTI, $250K–$5M for R&amp;D and commercialisation), Low Carbon Product Manufacturing (LCPM, $50K–$20M for expanding manufacturing capacity), and Renewable Manufacturing (RM, $5M–$50M for renewable energy component production). Round 1 recipients have been announced; Round 2 details are being finalised. All streams require 50% co-contribution from non-NSW Government sources (cash only; in-kind excluded).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most substantial manufacturing-focused cleantech grant program in NSW. CTI's commercialisation stream ($250K–$5M) is directly relevant to startups with validated technology seeking production scale-up capital.</w:t>
      </w:r>
    </w:p>
    <w:p>
      <w:pPr>
        <w:spacing w:before="40" w:after="60"/>
      </w:pPr>
      <w:r>
        <w:rPr>
          <w:rFonts w:ascii="Calibri" w:hAnsi="Calibri"/>
          <w:b/>
          <w:i w:val="0"/>
          <w:color w:val="2C2C2C"/>
          <w:sz w:val="22"/>
          <w:u w:val="none"/>
        </w:rPr>
        <w:t xml:space="preserve">Signals to watch:  </w:t>
      </w:r>
      <w:r>
        <w:rPr>
          <w:rFonts w:ascii="Calibri" w:hAnsi="Calibri"/>
          <w:b w:val="0"/>
          <w:i w:val="0"/>
          <w:color w:val="2C2C2C"/>
          <w:sz w:val="22"/>
          <w:u w:val="none"/>
        </w:rPr>
        <w:t>Register interest at energy.nsw.gov.au/NZMI for Round 2 notification. Round 2 construction-ready streams expected to carry larger pools than Round 1.</w:t>
      </w:r>
    </w:p>
    <w:p>
      <w:pPr>
        <w:spacing w:before="200" w:after="40"/>
      </w:pPr>
      <w:r>
        <w:rPr>
          <w:rFonts w:ascii="Calibri" w:hAnsi="Calibri"/>
          <w:b/>
          <w:i w:val="0"/>
          <w:color w:val="2C2C2C"/>
          <w:sz w:val="23"/>
          <w:u w:val="none"/>
        </w:rPr>
        <w:t>NSW: UNSW Climate 10x Accelerator (TRaCE Trailblazer)</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A two-phase accelerator funded by the federal Trailblazer for Recycling and Clean Energy (TRaCE) program. Phase 1 (Pre-X, 4 weeks) accepts 15 teams; Phase 2 (Accelerator, 10 weeks) takes the strongest through to investment readiness. Open to any Australian startup — no UNSW affiliation required.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Federal Trailblazer funding means this program has significant resources for participants compared to standard accelerators. Clean energy and recycling sectors particularly well served.</w:t>
      </w:r>
    </w:p>
    <w:p>
      <w:pPr>
        <w:spacing w:before="200" w:after="40"/>
      </w:pPr>
      <w:r>
        <w:rPr>
          <w:rFonts w:ascii="Calibri" w:hAnsi="Calibri"/>
          <w:b/>
          <w:i w:val="0"/>
          <w:color w:val="2C2C2C"/>
          <w:sz w:val="23"/>
          <w:u w:val="none"/>
        </w:rPr>
        <w:t>QLD: Advance Queensland — Ignite Ideas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Provides up to $200,000 to Queensland-based startups at MVP to early commercialisation stage. Cleantech is an eligible priority sector. The current round is closed; Round 13 is expected to open in 2026. Pre-MVP ventures should also watch the Ignite Spark program ($50K–$75K for concept/prototype stage). 20% matched cash contribution required (10% for Indigenous businesses or regional applicants).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The primary non-dilutive commercialisation grant for Queensland startups. Monitor advance.qld.gov.au for Round 13 opening dates.</w:t>
      </w:r>
    </w:p>
    <w:p>
      <w:pPr>
        <w:spacing w:before="200" w:after="40"/>
      </w:pPr>
      <w:r>
        <w:rPr>
          <w:rFonts w:ascii="Calibri" w:hAnsi="Calibri"/>
          <w:b/>
          <w:i w:val="0"/>
          <w:color w:val="2C2C2C"/>
          <w:sz w:val="23"/>
          <w:u w:val="none"/>
        </w:rPr>
        <w:t>SA: Green Industries SA — Circular Economy Grants</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Two grant streams available to South Australian businesses, councils, and research institutes. Business &amp; Market Development grants (up to $100,000) support circular economy business development. Circular Infrastructure grants ($200,000–$2M, 50% co-contribution) fund recycling, resource recovery, and materials processing infrastructure. Check GISA's website for 2026 round opening dates.</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SA's primary cleantech/circular economy grant channel. Businesses in materials, waste-to-energy, and recycling sectors should register their interest with GISA directly.</w:t>
      </w:r>
    </w:p>
    <w:p>
      <w:pPr>
        <w:spacing w:before="200" w:after="40"/>
      </w:pPr>
      <w:r>
        <w:rPr>
          <w:rFonts w:ascii="Calibri" w:hAnsi="Calibri"/>
          <w:b/>
          <w:i w:val="0"/>
          <w:color w:val="2C2C2C"/>
          <w:sz w:val="23"/>
          <w:u w:val="none"/>
        </w:rPr>
        <w:t>TAS: ReCFIT Climate Change Business Innovation Grants</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Tasmanian businesses with $500K–$55M annual turnover can access $25,000–$100,000 for climate action and low-emissions technology projects ($550,000 total pool per round; 30% cash co-contribution required). The previous round closed November 2025; outcomes and the next round opening are expected in early to mid-2026.</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Tasmania's primary cleantech SME grant. Relatively small pool — early applications are advantaged. Monitor recfit.tas.gov.au for the 2026 round.</w:t>
      </w:r>
    </w:p>
    <w:p>
      <w:pPr>
        <w:spacing w:before="200" w:after="40"/>
      </w:pPr>
      <w:r>
        <w:rPr>
          <w:rFonts w:ascii="Calibri" w:hAnsi="Calibri"/>
          <w:b/>
          <w:i w:val="0"/>
          <w:color w:val="2C2C2C"/>
          <w:sz w:val="23"/>
          <w:u w:val="none"/>
        </w:rPr>
        <w:t>VIC: Breakthrough Victoria — Clean Economy Fund</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Breakthrough Victoria has committed $75M across five VC funds including Virescent Ventures Fund II. All BV-backed funds must deploy at least 25% of capital into Victorian companies. Startups apply directly to the VC funds (Virescent Ventures, Boson Ventures, etc.), not to BV directly. Clean economy is a priority sector.</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Victorian cleantech founders should prioritise Virescent Ventures and Boson Ventures as their first equity contacts — BV's co-investment mandate increases deal size and credibility.</w:t>
      </w:r>
    </w:p>
    <w:p>
      <w:pPr>
        <w:spacing w:before="200" w:after="40"/>
      </w:pPr>
      <w:r>
        <w:rPr>
          <w:rFonts w:ascii="Calibri" w:hAnsi="Calibri"/>
          <w:b/>
          <w:i w:val="0"/>
          <w:color w:val="2C2C2C"/>
          <w:sz w:val="23"/>
          <w:u w:val="none"/>
        </w:rPr>
        <w:t>WA: Founders Factory Nature Tech Accelerator</w:t>
      </w:r>
    </w:p>
    <w:p>
      <w:pPr>
        <w:spacing w:before="40" w:after="60"/>
      </w:pPr>
      <w:r>
        <w:rPr>
          <w:rFonts w:ascii="Calibri" w:hAnsi="Calibri"/>
          <w:b/>
          <w:i w:val="0"/>
          <w:color w:val="2C2C2C"/>
          <w:sz w:val="22"/>
          <w:u w:val="none"/>
        </w:rPr>
        <w:t xml:space="preserve">Summary:  </w:t>
      </w:r>
      <w:r>
        <w:rPr>
          <w:rFonts w:ascii="Calibri" w:hAnsi="Calibri"/>
          <w:b w:val="0"/>
          <w:i w:val="0"/>
          <w:color w:val="2C2C2C"/>
          <w:sz w:val="22"/>
          <w:u w:val="none"/>
        </w:rPr>
        <w:t>The WA Government has committed $7.2M over 3 years to Founders Factory's dedicated Nature Tech Accelerator. Each accepted startup receives $50,000 plus 4 months of product development, commercialisation, and fundraising support from the Founders Factory team. Eligible sectors: environmental technologies, nature-based solutions, cleantech, biofuels. The February 2026 cohort is underway; next intake dates are to be confirmed.</w:t>
      </w:r>
    </w:p>
    <w:p>
      <w:pPr>
        <w:spacing w:before="40" w:after="60"/>
      </w:pPr>
      <w:r>
        <w:rPr>
          <w:rFonts w:ascii="Calibri" w:hAnsi="Calibri"/>
          <w:b/>
          <w:i w:val="0"/>
          <w:color w:val="2C2C2C"/>
          <w:sz w:val="22"/>
          <w:u w:val="none"/>
        </w:rPr>
        <w:t xml:space="preserve">Why it matters:  </w:t>
      </w:r>
      <w:r>
        <w:rPr>
          <w:rFonts w:ascii="Calibri" w:hAnsi="Calibri"/>
          <w:b w:val="0"/>
          <w:i w:val="0"/>
          <w:color w:val="2C2C2C"/>
          <w:sz w:val="22"/>
          <w:u w:val="none"/>
        </w:rPr>
        <w:t>Western Australia's most direct pathway for early-stage environmental-tech founders. The $7.2M multi-year commitment signals ongoing cohort delivery — monitor foundersfactory.com for next intake.</w:t>
      </w:r>
    </w:p>
    <w:p>
      <w:pPr>
        <w:spacing w:before="320" w:after="0"/>
      </w:pPr>
    </w:p>
    <w:p>
      <w:pPr>
        <w:spacing w:before="40" w:after="40"/>
        <w:pBdr>
          <w:bottom w:val="single" w:sz="6" w:space="1" w:color="AAAAAA"/>
        </w:pBdr>
      </w:pPr>
    </w:p>
    <w:p>
      <w:pPr>
        <w:spacing w:before="80" w:after="0"/>
      </w:pPr>
      <w:r>
        <w:rPr>
          <w:rFonts w:ascii="Calibri" w:hAnsi="Calibri"/>
          <w:b w:val="0"/>
          <w:i/>
          <w:color w:val="555555"/>
          <w:sz w:val="18"/>
          <w:u w:val="none"/>
        </w:rPr>
        <w:t>© GG Advisory  |  gg-advisory.org  |  Monthly digest — for strategic informational purposes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emc.gov.au/news-centre/speeches/connection-operation-batteries-and-next-phase-rez-development" TargetMode="External"/><Relationship Id="rId10" Type="http://schemas.openxmlformats.org/officeDocument/2006/relationships/hyperlink" Target="https://www.aemc.gov.au/news-centre/media-releases/national-electricity-grid-remains-reliable-and-secure-latest-reliability-panel-review" TargetMode="External"/><Relationship Id="rId11" Type="http://schemas.openxmlformats.org/officeDocument/2006/relationships/hyperlink" Target="https://www.efrag.org/en/news-and-calendar/news/efrag-issues-a-call-for-tender-for-cost-and-benefit-analysis-of-esrs-reporting-standards-for-noneu" TargetMode="External"/><Relationship Id="rId12" Type="http://schemas.openxmlformats.org/officeDocument/2006/relationships/hyperlink" Target="https://www.ifrs.org/content/ifrs/home/news-and-events/updates/issb/2026/issb-update-may-2026.html" TargetMode="External"/><Relationship Id="rId13" Type="http://schemas.openxmlformats.org/officeDocument/2006/relationships/hyperlink" Target="https://www.esgtoday.com/digitalbridge-acquires-electrification-focused-investor-arclight-for-1-billion/" TargetMode="External"/><Relationship Id="rId14" Type="http://schemas.openxmlformats.org/officeDocument/2006/relationships/hyperlink" Target="https://igcc.org.au/2026-budget-respo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