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val="0"/>
          <w:i w:val="0"/>
          <w:color w:val="555555"/>
          <w:sz w:val="20"/>
          <w:u w:val="none"/>
        </w:rPr>
        <w:t>GG Advisory  |  Monthly Signals Digest</w:t>
      </w:r>
    </w:p>
    <w:p>
      <w:pPr>
        <w:spacing w:before="0" w:after="120"/>
      </w:pPr>
      <w:r>
        <w:rPr>
          <w:rFonts w:ascii="Calibri" w:hAnsi="Calibri"/>
          <w:b/>
          <w:i w:val="0"/>
          <w:color w:val="1B7A6B"/>
          <w:sz w:val="44"/>
          <w:u w:val="none"/>
        </w:rPr>
        <w:t>April 2026</w:t>
      </w:r>
    </w:p>
    <w:p>
      <w:pPr>
        <w:spacing w:before="40" w:after="40"/>
        <w:pBdr>
          <w:bottom w:val="single" w:sz="18" w:space="1" w:color="1B7A6B"/>
        </w:pBdr>
      </w:pPr>
    </w:p>
    <w:p>
      <w:pPr>
        <w:spacing w:before="200" w:after="80"/>
      </w:pPr>
      <w:r>
        <w:rPr>
          <w:rFonts w:ascii="Calibri" w:hAnsi="Calibri"/>
          <w:b/>
          <w:i w:val="0"/>
          <w:color w:val="2C2C2C"/>
          <w:sz w:val="24"/>
          <w:u w:val="single"/>
        </w:rPr>
        <w:t>Top Lines</w:t>
      </w:r>
    </w:p>
    <w:p>
      <w:pPr>
        <w:pStyle w:val="ListBullet"/>
        <w:spacing w:before="40" w:after="40"/>
      </w:pPr>
      <w:r>
        <w:rPr>
          <w:rFonts w:ascii="Calibri" w:hAnsi="Calibri"/>
          <w:b w:val="0"/>
          <w:i w:val="0"/>
          <w:color w:val="2C2C2C"/>
          <w:sz w:val="22"/>
          <w:u w:val="none"/>
        </w:rPr>
        <w:t>AEMC proposes modest relaxation of reliability standard to 99.997% for 2028-2032.</w:t>
      </w:r>
    </w:p>
    <w:p>
      <w:pPr>
        <w:pStyle w:val="ListBullet"/>
        <w:spacing w:before="40" w:after="40"/>
      </w:pPr>
      <w:r>
        <w:rPr>
          <w:rFonts w:ascii="Calibri" w:hAnsi="Calibri"/>
          <w:b w:val="0"/>
          <w:i w:val="0"/>
          <w:color w:val="2C2C2C"/>
          <w:sz w:val="22"/>
          <w:u w:val="none"/>
        </w:rPr>
        <w:t>Network pricing reform could save up to $6 billion over 15 years, reducing household bills.</w:t>
      </w:r>
    </w:p>
    <w:p>
      <w:pPr>
        <w:pStyle w:val="ListBullet"/>
        <w:spacing w:before="40" w:after="40"/>
      </w:pPr>
      <w:r>
        <w:rPr>
          <w:rFonts w:ascii="Calibri" w:hAnsi="Calibri"/>
          <w:b w:val="0"/>
          <w:i w:val="0"/>
          <w:color w:val="2C2C2C"/>
          <w:sz w:val="22"/>
          <w:u w:val="none"/>
        </w:rPr>
        <w:t>EFRAG submits 2026 Sustainability Reporting Work Programme to European Commission.</w:t>
      </w:r>
    </w:p>
    <w:p>
      <w:pPr>
        <w:spacing w:before="280" w:after="0"/>
      </w:pPr>
    </w:p>
    <w:p>
      <w:pPr>
        <w:spacing w:before="0" w:after="80"/>
      </w:pPr>
      <w:r>
        <w:rPr>
          <w:rFonts w:ascii="Calibri" w:hAnsi="Calibri"/>
          <w:b/>
          <w:i w:val="0"/>
          <w:color w:val="1B7A6B"/>
          <w:sz w:val="26"/>
          <w:u w:val="single"/>
        </w:rPr>
        <w:t>ENERGY TRANSITION</w:t>
      </w:r>
    </w:p>
    <w:p>
      <w:pPr>
        <w:spacing w:before="40" w:after="40"/>
        <w:pBdr>
          <w:bottom w:val="single" w:sz="8" w:space="1" w:color="1B7A6B"/>
        </w:pBdr>
      </w:pPr>
    </w:p>
    <w:p>
      <w:pPr>
        <w:spacing w:before="200" w:after="40"/>
      </w:pPr>
      <w:r>
        <w:rPr>
          <w:rFonts w:ascii="Calibri" w:hAnsi="Calibri"/>
          <w:b/>
          <w:i w:val="0"/>
          <w:color w:val="2C2C2C"/>
          <w:sz w:val="23"/>
          <w:u w:val="none"/>
        </w:rPr>
        <w:t>Reliability Standard Adjusted for 2028-2032</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23 April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Reliability Panel has recommended a modest relaxation of the reliability standard from 99.998% to 99.997% for the period 1 July 2028 to 30 June 2032. This change reflects increased costs and changing consumer preferences. The market price settings remain unchanged, with the market price cap at $22,800 and the cumulative price threshold at $2,235,600 in 2022 dollars. The adjustment aims to balance investment in generation and consumer cost tolerance.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CFOs and energy managers should prepare for potential impacts on energy procurement strategies and budget forecasts starting in 2028.</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AEMC's rule change process for final implementation details.</w:t>
      </w:r>
    </w:p>
    <w:p>
      <w:pPr>
        <w:spacing w:before="40" w:after="120"/>
      </w:pPr>
      <w:r>
        <w:rPr>
          <w:rFonts w:ascii="Calibri" w:hAnsi="Calibri"/>
          <w:b/>
          <w:i w:val="0"/>
          <w:color w:val="555555"/>
          <w:sz w:val="21"/>
          <w:u w:val="none"/>
        </w:rPr>
        <w:t xml:space="preserve">Source:  </w:t>
      </w:r>
      <w:hyperlink r:id="rId9" w:history="1">
        <w:r>
          <w:rPr>
            <w:rStyle w:val="Hyperlink"/>
            <w:color w:val="005EA2"/>
            <w:sz w:val="22"/>
            <w:szCs w:val="22"/>
          </w:rPr>
          <w:t>AEMC Media Release</w:t>
        </w:r>
      </w:hyperlink>
    </w:p>
    <w:p>
      <w:pPr>
        <w:spacing w:before="200" w:after="40"/>
      </w:pPr>
      <w:r>
        <w:rPr>
          <w:rFonts w:ascii="Calibri" w:hAnsi="Calibri"/>
          <w:b/>
          <w:i w:val="0"/>
          <w:color w:val="2C2C2C"/>
          <w:sz w:val="23"/>
          <w:u w:val="none"/>
        </w:rPr>
        <w:t>Network Pricing Reform Promises $6 Billion Savings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23 April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AEMC's new modelling suggests that reforming electricity network cost recovery could save up to $6 billion over 15 years. The reforms propose shifting costs to a stable access charge, potentially saving some households up to $740 annually by 2040. The final report, considering over 2,700 submissions, will be published in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Boards should evaluate potential impacts on energy cost structures and consider engaging in the consultation process before the final report in June 2026.</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Await the AEMC's final report in June 2026 for definitive recommendations.</w:t>
      </w:r>
    </w:p>
    <w:p>
      <w:pPr>
        <w:spacing w:before="40" w:after="120"/>
      </w:pPr>
      <w:r>
        <w:rPr>
          <w:rFonts w:ascii="Calibri" w:hAnsi="Calibri"/>
          <w:b/>
          <w:i w:val="0"/>
          <w:color w:val="555555"/>
          <w:sz w:val="21"/>
          <w:u w:val="none"/>
        </w:rPr>
        <w:t xml:space="preserve">Source:  </w:t>
      </w:r>
      <w:hyperlink r:id="rId10" w:history="1">
        <w:r>
          <w:rPr>
            <w:rStyle w:val="Hyperlink"/>
            <w:color w:val="005EA2"/>
            <w:sz w:val="22"/>
            <w:szCs w:val="22"/>
          </w:rPr>
          <w:t>AEMC Media Release</w:t>
        </w:r>
      </w:hyperlink>
    </w:p>
    <w:p>
      <w:pPr>
        <w:spacing w:before="280" w:after="0"/>
      </w:pPr>
    </w:p>
    <w:p>
      <w:pPr>
        <w:spacing w:before="0" w:after="80"/>
      </w:pPr>
      <w:r>
        <w:rPr>
          <w:rFonts w:ascii="Calibri" w:hAnsi="Calibri"/>
          <w:b/>
          <w:i w:val="0"/>
          <w:color w:val="1B7A6B"/>
          <w:sz w:val="26"/>
          <w:u w:val="single"/>
        </w:rPr>
        <w:t>ESG REPORTING</w:t>
      </w:r>
    </w:p>
    <w:p>
      <w:pPr>
        <w:spacing w:before="40" w:after="40"/>
        <w:pBdr>
          <w:bottom w:val="single" w:sz="8" w:space="1" w:color="1B7A6B"/>
        </w:pBdr>
      </w:pPr>
    </w:p>
    <w:p>
      <w:pPr>
        <w:spacing w:before="200" w:after="40"/>
      </w:pPr>
      <w:r>
        <w:rPr>
          <w:rFonts w:ascii="Calibri" w:hAnsi="Calibri"/>
          <w:b/>
          <w:i w:val="0"/>
          <w:color w:val="2C2C2C"/>
          <w:sz w:val="23"/>
          <w:u w:val="none"/>
        </w:rPr>
        <w:t>EFRAG's 2026 Sustainability Reporting Work Programme</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24 April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has submitted its 2026 Sustainability Reporting Work Programme to the European Commission, focusing on developing N-ESRS for non-EU groups and enhancing interoperability with international standards. The programme emphasizes usability and simplification while maintaining robust sustainability disclosures.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with European operations should align their sustainability reporting practices with EFRAG's evolving standards to ensure compliance and competitive positioning.</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Track the publication of the Exposure Draft in July 2026 for public consultation.</w:t>
      </w:r>
    </w:p>
    <w:p>
      <w:pPr>
        <w:spacing w:before="40" w:after="120"/>
      </w:pPr>
      <w:r>
        <w:rPr>
          <w:rFonts w:ascii="Calibri" w:hAnsi="Calibri"/>
          <w:b/>
          <w:i w:val="0"/>
          <w:color w:val="555555"/>
          <w:sz w:val="21"/>
          <w:u w:val="none"/>
        </w:rPr>
        <w:t xml:space="preserve">Source:  </w:t>
      </w:r>
      <w:hyperlink r:id="rId11" w:history="1">
        <w:r>
          <w:rPr>
            <w:rStyle w:val="Hyperlink"/>
            <w:color w:val="005EA2"/>
            <w:sz w:val="22"/>
            <w:szCs w:val="22"/>
          </w:rPr>
          <w:t>EFRAG News</w:t>
        </w:r>
      </w:hyperlink>
    </w:p>
    <w:p>
      <w:pPr>
        <w:spacing w:before="200" w:after="40"/>
      </w:pPr>
      <w:r>
        <w:rPr>
          <w:rFonts w:ascii="Calibri" w:hAnsi="Calibri"/>
          <w:b/>
          <w:i w:val="0"/>
          <w:color w:val="2C2C2C"/>
          <w:sz w:val="23"/>
          <w:u w:val="none"/>
        </w:rPr>
        <w:t>EFRAG Seeks Input on SASB Consultation</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29 April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is consulting on its Draft Comment Letter to the ISSB regarding proposed amendments to SASB Standards. The consultation, open until 24 July 2026, focuses on Electric Utilities &amp; Power Generators, Agricultural Products, and Meat, Poultry &amp; Dairy sectors.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in these sectors should consider contributing to the consultation to influence the development of sustainability reporting standards that may impact global operations.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Participate in EFRAG's survey by 28 June 2026 to provide input.</w:t>
      </w:r>
    </w:p>
    <w:p>
      <w:pPr>
        <w:spacing w:before="40" w:after="120"/>
      </w:pPr>
      <w:r>
        <w:rPr>
          <w:rFonts w:ascii="Calibri" w:hAnsi="Calibri"/>
          <w:b/>
          <w:i w:val="0"/>
          <w:color w:val="555555"/>
          <w:sz w:val="21"/>
          <w:u w:val="none"/>
        </w:rPr>
        <w:t xml:space="preserve">Source:  </w:t>
      </w:r>
      <w:hyperlink r:id="rId12" w:history="1">
        <w:r>
          <w:rPr>
            <w:rStyle w:val="Hyperlink"/>
            <w:color w:val="005EA2"/>
            <w:sz w:val="22"/>
            <w:szCs w:val="22"/>
          </w:rPr>
          <w:t>EFRAG News</w:t>
        </w:r>
      </w:hyperlink>
    </w:p>
    <w:p>
      <w:pPr>
        <w:spacing w:before="280" w:after="0"/>
      </w:pPr>
    </w:p>
    <w:p>
      <w:pPr>
        <w:spacing w:before="0" w:after="80"/>
      </w:pPr>
      <w:r>
        <w:rPr>
          <w:rFonts w:ascii="Calibri" w:hAnsi="Calibri"/>
          <w:b/>
          <w:i w:val="0"/>
          <w:color w:val="1B7A6B"/>
          <w:sz w:val="26"/>
          <w:u w:val="single"/>
        </w:rPr>
        <w:t>SUSTAINABLE FINANCE &amp; INVESTMENT</w:t>
      </w:r>
    </w:p>
    <w:p>
      <w:pPr>
        <w:spacing w:before="40" w:after="40"/>
        <w:pBdr>
          <w:bottom w:val="single" w:sz="8" w:space="1" w:color="1B7A6B"/>
        </w:pBdr>
      </w:pPr>
    </w:p>
    <w:p>
      <w:pPr>
        <w:spacing w:before="280" w:after="0"/>
      </w:pPr>
    </w:p>
    <w:p>
      <w:pPr>
        <w:spacing w:before="0" w:after="80"/>
      </w:pPr>
      <w:r>
        <w:rPr>
          <w:rFonts w:ascii="Calibri" w:hAnsi="Calibri"/>
          <w:b/>
          <w:i w:val="0"/>
          <w:color w:val="1B7A6B"/>
          <w:sz w:val="26"/>
          <w:u w:val="single"/>
        </w:rPr>
        <w:t>CLEANTECH &amp; START-UP ECOSYSTEM — GRANTS &amp; ACCELERATORS RADAR</w:t>
      </w:r>
    </w:p>
    <w:p>
      <w:pPr>
        <w:spacing w:before="40" w:after="40"/>
        <w:pBdr>
          <w:bottom w:val="single" w:sz="8" w:space="1" w:color="1B7A6B"/>
        </w:pBdr>
      </w:pPr>
    </w:p>
    <w:p>
      <w:pPr>
        <w:spacing w:before="200" w:after="40"/>
      </w:pPr>
      <w:r>
        <w:rPr>
          <w:rFonts w:ascii="Calibri" w:hAnsi="Calibri"/>
          <w:b/>
          <w:i w:val="0"/>
          <w:color w:val="2C2C2C"/>
          <w:sz w:val="23"/>
          <w:u w:val="none"/>
        </w:rPr>
        <w:t>Closing soon — deadlines within the next 60 days</w:t>
      </w:r>
    </w:p>
    <w:p>
      <w:pPr>
        <w:spacing w:before="200" w:after="40"/>
      </w:pPr>
      <w:r>
        <w:rPr>
          <w:rFonts w:ascii="Calibri" w:hAnsi="Calibri"/>
          <w:b/>
          <w:i w:val="0"/>
          <w:color w:val="2C2C2C"/>
          <w:sz w:val="23"/>
          <w:u w:val="none"/>
        </w:rPr>
        <w:t>VIC: Circular Economy Recycling Modernisation Fund — Round 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With SV's abolition flagged for 2026, monitor the Victorian Government for announcements on which agency will absorb the circular economy grant function post-SV.</w:t>
      </w:r>
    </w:p>
    <w:p>
      <w:pPr>
        <w:spacing w:before="200" w:after="40"/>
      </w:pPr>
      <w:r>
        <w:rPr>
          <w:rFonts w:ascii="Calibri" w:hAnsi="Calibri"/>
          <w:b/>
          <w:i w:val="0"/>
          <w:color w:val="2C2C2C"/>
          <w:sz w:val="23"/>
          <w:u w:val="none"/>
        </w:rPr>
        <w:t>National programs — open on a rolling basis</w:t>
      </w:r>
    </w:p>
    <w:p>
      <w:pPr>
        <w:spacing w:before="200" w:after="40"/>
      </w:pPr>
      <w:r>
        <w:rPr>
          <w:rFonts w:ascii="Calibri" w:hAnsi="Calibri"/>
          <w:b/>
          <w:i w:val="0"/>
          <w:color w:val="2C2C2C"/>
          <w:sz w:val="23"/>
          <w:u w:val="none"/>
        </w:rPr>
        <w:t>Australia's Economic Accelerator (AEA) — Ignite &amp; Innovate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Round 2 details and opening dates are published on aea.gov.au. The $1.6B envelope means multiple rounds are expected across 2026–2030.</w:t>
      </w:r>
    </w:p>
    <w:p>
      <w:pPr>
        <w:spacing w:before="200" w:after="40"/>
      </w:pPr>
      <w:r>
        <w:rPr>
          <w:rFonts w:ascii="Calibri" w:hAnsi="Calibri"/>
          <w:b/>
          <w:i w:val="0"/>
          <w:color w:val="2C2C2C"/>
          <w:sz w:val="23"/>
          <w:u w:val="none"/>
        </w:rPr>
        <w:t>ARENA Advancing Renewables Program</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Covers the widest range of clean energy technologies of any national program. Suitable for companies with working prototypes ready for demonstration at scale.</w:t>
      </w:r>
    </w:p>
    <w:p>
      <w:pPr>
        <w:spacing w:before="200" w:after="40"/>
      </w:pPr>
      <w:r>
        <w:rPr>
          <w:rFonts w:ascii="Calibri" w:hAnsi="Calibri"/>
          <w:b/>
          <w:i w:val="0"/>
          <w:color w:val="2C2C2C"/>
          <w:sz w:val="23"/>
          <w:u w:val="none"/>
        </w:rPr>
        <w:t>Future Made in Australia (FMIA) Innovation Fund — ARENA</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single cleantech manufacturing opportunity in Australia's history. ARENA encourages early engagement before submitting an EOI — contact their team first.</w:t>
      </w:r>
    </w:p>
    <w:p>
      <w:pPr>
        <w:spacing w:before="200" w:after="40"/>
      </w:pPr>
      <w:r>
        <w:rPr>
          <w:rFonts w:ascii="Calibri" w:hAnsi="Calibri"/>
          <w:b/>
          <w:i w:val="0"/>
          <w:color w:val="2C2C2C"/>
          <w:sz w:val="23"/>
          <w:u w:val="none"/>
        </w:rPr>
        <w:t>Brinc / Artesian Clean Energy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cleantech-exclusive accelerators in Australia with a rolling application process and clear follow-on capital pathway via Artesian. The online format removes geography barriers.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Artesian's Clean Energy Seed Fund can follow with $200K–$2M. Artesian is also active in CEFC-backed co-investment mandates, providing access to further institutional capital.</w:t>
      </w:r>
    </w:p>
    <w:p>
      <w:pPr>
        <w:spacing w:before="200" w:after="40"/>
      </w:pPr>
      <w:r>
        <w:rPr>
          <w:rFonts w:ascii="Calibri" w:hAnsi="Calibri"/>
          <w:b/>
          <w:i w:val="0"/>
          <w:color w:val="2C2C2C"/>
          <w:sz w:val="23"/>
          <w:u w:val="none"/>
        </w:rPr>
        <w:t>CEFC / Virescent Ventures Fund 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startups that have cleared product-market fit and are ready for institutional equity, this is the most relevant Australian climate-tech fund currently deploying capital.</w:t>
      </w:r>
    </w:p>
    <w:p>
      <w:pPr>
        <w:spacing w:before="200" w:after="40"/>
      </w:pPr>
      <w:r>
        <w:rPr>
          <w:rFonts w:ascii="Calibri" w:hAnsi="Calibri"/>
          <w:b/>
          <w:i w:val="0"/>
          <w:color w:val="2C2C2C"/>
          <w:sz w:val="23"/>
          <w:u w:val="none"/>
        </w:rPr>
        <w:t>CSIRO ON Accelerate — Cohort 12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prestigious non-dilutive pathway for early-stage deep-tech founders in Australia. Subscribe to on@csiro.au for early notification when Cohort 12 opens.</w:t>
      </w:r>
    </w:p>
    <w:p>
      <w:pPr>
        <w:spacing w:before="200" w:after="40"/>
      </w:pPr>
      <w:r>
        <w:rPr>
          <w:rFonts w:ascii="Calibri" w:hAnsi="Calibri"/>
          <w:b/>
          <w:i w:val="0"/>
          <w:color w:val="2C2C2C"/>
          <w:sz w:val="23"/>
          <w:u w:val="none"/>
        </w:rPr>
        <w:t>EnergyLab Scaleup Program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An ideal companion to the Climate Solutions Accelerator for later-stage founders. Non-dilutive and free to apply — the AllEnergy showcase provides direct access to energy sector buyers.</w:t>
      </w:r>
    </w:p>
    <w:p>
      <w:pPr>
        <w:spacing w:before="200" w:after="40"/>
      </w:pPr>
      <w:r>
        <w:rPr>
          <w:rFonts w:ascii="Calibri" w:hAnsi="Calibri"/>
          <w:b/>
          <w:i w:val="0"/>
          <w:color w:val="2C2C2C"/>
          <w:sz w:val="23"/>
          <w:u w:val="none"/>
        </w:rPr>
        <w:t>Hydrogen Headstart — Round 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Hydrogen Production Tax Incentive ($2/kg refundable tax offset from 1 July 2027) is designed to complement Headstart, bridging the revenue gap until market prices reach parity.</w:t>
      </w:r>
    </w:p>
    <w:p>
      <w:pPr>
        <w:spacing w:before="200" w:after="40"/>
      </w:pPr>
      <w:r>
        <w:rPr>
          <w:rFonts w:ascii="Calibri" w:hAnsi="Calibri"/>
          <w:b/>
          <w:i w:val="0"/>
          <w:color w:val="2C2C2C"/>
          <w:sz w:val="23"/>
          <w:u w:val="none"/>
        </w:rPr>
        <w:t>Industry Growth Program (IGP)</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national programs directly supporting cleantech SMEs at early stage. Apply urgently — the pool is depleting. The NRF Net Zero Fund (concessional debt/equity, $3B+) is expected to open mid-2026 as a growth-stage complement.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NRF Net Zero Fund expected to open mid-2026 for larger growth-stage capital needs.</w:t>
      </w:r>
    </w:p>
    <w:p>
      <w:pPr>
        <w:spacing w:before="200" w:after="40"/>
      </w:pPr>
      <w:r>
        <w:rPr>
          <w:rFonts w:ascii="Calibri" w:hAnsi="Calibri"/>
          <w:b/>
          <w:i w:val="0"/>
          <w:color w:val="2C2C2C"/>
          <w:sz w:val="23"/>
          <w:u w:val="none"/>
        </w:rPr>
        <w:t>Main Sequence Ventures — Fund III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MSEQ is the largest LP in CSIRO's A$150M commitment through Australia's Economic Accelerator (AEA). Startups coming through AEA Ignite/Innovate have a natural pathway to MSEQ consideration.</w:t>
      </w:r>
    </w:p>
    <w:p>
      <w:pPr>
        <w:spacing w:before="200" w:after="40"/>
      </w:pPr>
      <w:r>
        <w:rPr>
          <w:rFonts w:ascii="Calibri" w:hAnsi="Calibri"/>
          <w:b/>
          <w:i w:val="0"/>
          <w:color w:val="2C2C2C"/>
          <w:sz w:val="23"/>
          <w:u w:val="none"/>
        </w:rPr>
        <w:t>National Reconstruction Fund — Net Zero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NRFC general portfolio (NRF priority areas, commercial terms) is already open. The Net Zero sub-fund will layer on additional concessionality from mid-2026. Register interest at nrf.gov.au.</w:t>
      </w:r>
    </w:p>
    <w:p>
      <w:pPr>
        <w:spacing w:before="200" w:after="40"/>
      </w:pPr>
      <w:r>
        <w:rPr>
          <w:rFonts w:ascii="Calibri" w:hAnsi="Calibri"/>
          <w:b/>
          <w:i w:val="0"/>
          <w:color w:val="2C2C2C"/>
          <w:sz w:val="23"/>
          <w:u w:val="none"/>
        </w:rPr>
        <w:t>R&amp;D Tax Incentive (R&amp;DTI)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Consult an R&amp;D tax specialist before lodging — the ATO audits R&amp;D claims closely and requires contemporaneous records of technical uncertainty, hypothesis, experiments, and outcomes.</w:t>
      </w:r>
    </w:p>
    <w:p>
      <w:pPr>
        <w:spacing w:before="200" w:after="40"/>
      </w:pPr>
      <w:r>
        <w:rPr>
          <w:rFonts w:ascii="Calibri" w:hAnsi="Calibri"/>
          <w:b/>
          <w:i w:val="0"/>
          <w:color w:val="2C2C2C"/>
          <w:sz w:val="23"/>
          <w:u w:val="none"/>
        </w:rPr>
        <w:t>Startmate Accelerator — Winter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highest-profile generalist accelerator in Australia with a strong climate-tech track record. Strong network effects: the Startmate community of founders, operators, and investors is one of Australia's most active and supportive.</w:t>
      </w:r>
    </w:p>
    <w:p>
      <w:pPr>
        <w:spacing w:before="200" w:after="40"/>
      </w:pPr>
      <w:r>
        <w:rPr>
          <w:rFonts w:ascii="Calibri" w:hAnsi="Calibri"/>
          <w:b/>
          <w:i w:val="0"/>
          <w:color w:val="2C2C2C"/>
          <w:sz w:val="23"/>
          <w:u w:val="none"/>
        </w:rPr>
        <w:t>State &amp; territory programs</w:t>
      </w:r>
    </w:p>
    <w:p>
      <w:pPr>
        <w:spacing w:before="200" w:after="40"/>
      </w:pPr>
      <w:r>
        <w:rPr>
          <w:rFonts w:ascii="Calibri" w:hAnsi="Calibri"/>
          <w:b/>
          <w:i w:val="0"/>
          <w:color w:val="2C2C2C"/>
          <w:sz w:val="23"/>
          <w:u w:val="none"/>
        </w:rPr>
        <w:t>ACT: Energy Innovation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ACT's primary grant channel for early-stage energy innovation, particularly valuable for startups seeking a smaller pilot-scale test market before national rollout. The quarterly rolling assessment means no fixed deadline pressure.</w:t>
      </w:r>
    </w:p>
    <w:p>
      <w:pPr>
        <w:spacing w:before="200" w:after="40"/>
      </w:pPr>
      <w:r>
        <w:rPr>
          <w:rFonts w:ascii="Calibri" w:hAnsi="Calibri"/>
          <w:b/>
          <w:i w:val="0"/>
          <w:color w:val="2C2C2C"/>
          <w:sz w:val="23"/>
          <w:u w:val="none"/>
        </w:rPr>
        <w:t>NSW: I2N Cleantech Accelerator — University of Newcastle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sector-specific cleantech accelerators outside Sydney and Melbourne, with genuine depth in clean energy and recycling commercialisation. TRaCE funding gives it stronger resource backing than typical university accelerators.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Applications typically open April, with an info session in May and programme starting August. Monitor hunternewenergy.com.au for next cohort announcements.</w:t>
      </w:r>
    </w:p>
    <w:p>
      <w:pPr>
        <w:spacing w:before="200" w:after="40"/>
      </w:pPr>
      <w:r>
        <w:rPr>
          <w:rFonts w:ascii="Calibri" w:hAnsi="Calibri"/>
          <w:b/>
          <w:i w:val="0"/>
          <w:color w:val="2C2C2C"/>
          <w:sz w:val="23"/>
          <w:u w:val="none"/>
        </w:rPr>
        <w:t>NSW Net Zero Manufacturing Initiative (NZMI)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substantial manufacturing-focused cleantech grant program in NSW. CTI's commercialisation stream ($250K–$5M) is directly relevant to startups with validated technology seeking production scale-up capital.</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interest at energy.nsw.gov.au/NZMI for Round 2 notification. Round 2 construction-ready streams expected to carry larger pools than Round 1.</w:t>
      </w:r>
    </w:p>
    <w:p>
      <w:pPr>
        <w:spacing w:before="200" w:after="40"/>
      </w:pPr>
      <w:r>
        <w:rPr>
          <w:rFonts w:ascii="Calibri" w:hAnsi="Calibri"/>
          <w:b/>
          <w:i w:val="0"/>
          <w:color w:val="2C2C2C"/>
          <w:sz w:val="23"/>
          <w:u w:val="none"/>
        </w:rPr>
        <w:t>NSW: UNSW Climate 10x Accelerator (TRaCE Trailblazer)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Federal Trailblazer funding means this program has significant resources for participants compared to standard accelerators. Clean energy and recycling sectors particularly well served.</w:t>
      </w:r>
    </w:p>
    <w:p>
      <w:pPr>
        <w:spacing w:before="200" w:after="40"/>
      </w:pPr>
      <w:r>
        <w:rPr>
          <w:rFonts w:ascii="Calibri" w:hAnsi="Calibri"/>
          <w:b/>
          <w:i w:val="0"/>
          <w:color w:val="2C2C2C"/>
          <w:sz w:val="23"/>
          <w:u w:val="none"/>
        </w:rPr>
        <w:t>QLD: Advance Queensland — Ignite Ideas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non-dilutive commercialisation grant for Queensland startups. Monitor advance.qld.gov.au for Round 13 opening dates.</w:t>
      </w:r>
    </w:p>
    <w:p>
      <w:pPr>
        <w:spacing w:before="200" w:after="40"/>
      </w:pPr>
      <w:r>
        <w:rPr>
          <w:rFonts w:ascii="Calibri" w:hAnsi="Calibri"/>
          <w:b/>
          <w:i w:val="0"/>
          <w:color w:val="2C2C2C"/>
          <w:sz w:val="23"/>
          <w:u w:val="none"/>
        </w:rPr>
        <w:t>SA: Green Industries SA — Circular Economy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SA's primary cleantech/circular economy grant channel. Businesses in materials, waste-to-energy, and recycling sectors should register their interest with GISA directly.</w:t>
      </w:r>
    </w:p>
    <w:p>
      <w:pPr>
        <w:spacing w:before="200" w:after="40"/>
      </w:pPr>
      <w:r>
        <w:rPr>
          <w:rFonts w:ascii="Calibri" w:hAnsi="Calibri"/>
          <w:b/>
          <w:i w:val="0"/>
          <w:color w:val="2C2C2C"/>
          <w:sz w:val="23"/>
          <w:u w:val="none"/>
        </w:rPr>
        <w:t>TAS: ReCFIT Climate Change Business Innovation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Tasmania's primary cleantech SME grant. Relatively small pool — early applications are advantaged. Monitor recfit.tas.gov.au for the 2026 round.</w:t>
      </w:r>
    </w:p>
    <w:p>
      <w:pPr>
        <w:spacing w:before="200" w:after="40"/>
      </w:pPr>
      <w:r>
        <w:rPr>
          <w:rFonts w:ascii="Calibri" w:hAnsi="Calibri"/>
          <w:b/>
          <w:i w:val="0"/>
          <w:color w:val="2C2C2C"/>
          <w:sz w:val="23"/>
          <w:u w:val="none"/>
        </w:rPr>
        <w:t>VIC: Breakthrough Victoria — Clean Economy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Victorian cleantech founders should prioritise Virescent Ventures and Boson Ventures as their first equity contacts — BV's co-investment mandate increases deal size and credibility.</w:t>
      </w:r>
    </w:p>
    <w:p>
      <w:pPr>
        <w:spacing w:before="200" w:after="40"/>
      </w:pPr>
      <w:r>
        <w:rPr>
          <w:rFonts w:ascii="Calibri" w:hAnsi="Calibri"/>
          <w:b/>
          <w:i w:val="0"/>
          <w:color w:val="2C2C2C"/>
          <w:sz w:val="23"/>
          <w:u w:val="none"/>
        </w:rPr>
        <w:t>WA: Founders Factory Nature Tech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Western Australia's most direct pathway for early-stage environmental-tech founders. The $7.2M multi-year commitment signals ongoing cohort delivery — monitor foundersfactory.com for next intake.</w:t>
      </w:r>
    </w:p>
    <w:p>
      <w:pPr>
        <w:spacing w:before="320" w:after="0"/>
      </w:pPr>
    </w:p>
    <w:p>
      <w:pPr>
        <w:spacing w:before="40" w:after="40"/>
        <w:pBdr>
          <w:bottom w:val="single" w:sz="6" w:space="1" w:color="AAAAAA"/>
        </w:pBdr>
      </w:pPr>
    </w:p>
    <w:p>
      <w:pPr>
        <w:spacing w:before="80" w:after="0"/>
      </w:pPr>
      <w:r>
        <w:rPr>
          <w:rFonts w:ascii="Calibri" w:hAnsi="Calibri"/>
          <w:b w:val="0"/>
          <w:i/>
          <w:color w:val="555555"/>
          <w:sz w:val="18"/>
          <w:u w:val="none"/>
        </w:rPr>
        <w:t>© GG Advisory  |  gg-advisory.org  |  Monthly digest — for strategic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mc.gov.au/news-centre/media-releases/reliability-panel-prioritises-stability-consumers-proposed-change-reliability-standard-2028-2032" TargetMode="External"/><Relationship Id="rId10" Type="http://schemas.openxmlformats.org/officeDocument/2006/relationships/hyperlink" Target="https://www.aemc.gov.au/news-centre/media-releases/network-pricing-reform-could-cut-household-electricity-bills-and-deliver-6-billion-system-savings" TargetMode="External"/><Relationship Id="rId11" Type="http://schemas.openxmlformats.org/officeDocument/2006/relationships/hyperlink" Target="https://www.efrag.org/en/news-and-calendar/news/efrag-submits-its-sustainability-reporting-work-programme-2026-to-the-european-commission" TargetMode="External"/><Relationship Id="rId12" Type="http://schemas.openxmlformats.org/officeDocument/2006/relationships/hyperlink" Target="https://www.efrag.org/en/news-and-calendar/news/contribute-to-the-european-views-on-the-issb-consultation-on-sasb-enhanc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