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0D2D4A"/>
          <w:sz w:val="44"/>
          <w:u w:val="none"/>
        </w:rPr>
        <w:t>ARK Capture Solutions</w:t>
      </w:r>
    </w:p>
    <w:p>
      <w:pPr>
        <w:spacing w:before="0" w:after="40"/>
      </w:pPr>
      <w:r>
        <w:rPr>
          <w:rFonts w:ascii="Calibri" w:hAnsi="Calibri"/>
          <w:b w:val="0"/>
          <w:i/>
          <w:color w:val="1B7A6B"/>
          <w:sz w:val="22"/>
          <w:u w:val="none"/>
        </w:rPr>
        <w:t>Monthly Intelligence Brief — Australia &amp; APAC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555555"/>
          <w:sz w:val="18"/>
          <w:u w:val="none"/>
        </w:rPr>
        <w:t>Prepared by GG Advisory  |  May 2026  |  Confidential</w:t>
      </w:r>
    </w:p>
    <w:p>
      <w:pPr>
        <w:spacing w:before="20" w:after="20"/>
        <w:pBdr>
          <w:bottom w:val="single" w:sz="20" w:space="1" w:color="1B7A6B"/>
        </w:pBdr>
      </w:pPr>
    </w:p>
    <w:p>
      <w:pPr>
        <w:spacing w:before="160" w:after="40"/>
        <w:jc w:val="center"/>
      </w:pPr>
      <w:r>
        <w:rPr>
          <w:rFonts w:ascii="Calibri" w:hAnsi="Calibri"/>
          <w:b/>
          <w:i w:val="0"/>
          <w:color w:val="0D2D4A"/>
          <w:sz w:val="32"/>
          <w:u w:val="none"/>
        </w:rPr>
        <w:t>ARK Intelligence Brief — May 2026</w:t>
      </w:r>
    </w:p>
    <w:p>
      <w:pPr>
        <w:spacing w:before="20" w:after="20"/>
        <w:pBdr>
          <w:bottom w:val="single" w:sz="8" w:space="1" w:color="1B7A6B"/>
        </w:pBdr>
      </w:pP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0D2D4A"/>
          <w:sz w:val="26"/>
          <w:u w:val="none"/>
        </w:rPr>
        <w:t>Executive Summary</w:t>
      </w:r>
    </w:p>
    <w:p>
      <w:pPr>
        <w:spacing w:before="40" w:after="80"/>
        <w:jc w:val="left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ARK Capture Solutions (Belgium) has developed a fully-electric, post-combustion carbon capture system targeting low-concentration flue gas from industrial sources including waste-to-energy, cement, biomass co-generation, and gas-fired plants. ARK states the technology operates without chemical solvents, with modular design and autonomous operation, and claims approximately 50% lower capture costs versus conventional amine scrubbing at low CO₂ concentrations (company-stated; no independent peer-reviewed validation published to date).</w:t>
      </w:r>
    </w:p>
    <w:p>
      <w:pPr>
        <w:spacing w:before="40" w:after="80"/>
        <w:jc w:val="left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 50 t/year pilot plant recently commenced operation in Belgium under the €5.6M CO₂ Disrupt Project (partners: Aperam, Industeel, Cinergie). ARK's strategic entry into Australia is supported by GG Advisory and targets the country's growing industrial decarbonisation mandate, active grant programmes, and a small number of high-fit early adopters in Western Australia and New South Wales.</w:t>
      </w:r>
    </w:p>
    <w:p>
      <w:pPr>
        <w:spacing w:before="120" w:after="40"/>
        <w:jc w:val="left"/>
      </w:pPr>
      <w:r>
        <w:rPr>
          <w:rFonts w:ascii="Calibri" w:hAnsi="Calibri"/>
          <w:b/>
          <w:i w:val="0"/>
          <w:color w:val="1B7A6B"/>
          <w:sz w:val="21"/>
          <w:u w:val="none"/>
        </w:rPr>
        <w:t>Key Developments This Month</w:t>
      </w:r>
    </w:p>
    <w:p>
      <w:pPr>
        <w:spacing w:before="80" w:after="80"/>
        <w:ind w:left="216" w:right="216"/>
        <w:shd w:val="clear" w:color="auto" w:fill="D6EDE9"/>
      </w:pPr>
      <w:r>
        <w:rPr>
          <w:rFonts w:ascii="Calibri" w:hAnsi="Calibri"/>
          <w:b w:val="0"/>
          <w:i/>
          <w:color w:val="2C2C2C"/>
          <w:sz w:val="20"/>
          <w:u w:val="none"/>
        </w:rPr>
        <w:t>— No highlights available this period. —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  <w:jc w:val="left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  <w:u w:val="none"/>
        </w:rPr>
        <w:t>GRANTS &amp; FUNDING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Market Background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Carbon Capture Technologies Programme (CCTP) — Round 2</w:t>
      </w:r>
      <w:r>
        <w:t xml:space="preserve">  </w:t>
      </w:r>
      <w:r>
        <w:rPr>
          <w:rFonts w:ascii="Calibri" w:hAnsi="Calibri"/>
          <w:b/>
          <w:sz w:val="16"/>
          <w:shd w:val="clear" w:color="auto" w:fill="C0392B"/>
          <w:color w:val="FFFFFF"/>
        </w:rPr>
        <w:t xml:space="preserve">  TIME-CRITICAL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Administered by DCCEEW / business.gov.au; open now, closes 5:00 pm AEST Wednesday 6 May 2026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Total pool: AUD $32.6 million; grants from AUD $1M to AUD $10M per project; minimum eligible project expenditure AUD $2M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Two-stage process: Expression of Interest (Stage 1) → invited full application (Stage 2)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Eligible lead applicants: any entity incorporated in Australia with an ABN; foreign technology providers such as ARK must partner with an eligible Australian lead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Partnering with CSIRO Energy is the recommended pathway — provides ABN eligibility, independent credibility and technology validation in a single step (GG Advisory recommendation; not a programme rule)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Projects must be located in Australia, complete by 31 March 2031, and must not consist solely of a feasibility or engineering study; prior Round 1 recipients are ineligible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Strategic fit for ARK: HIGH — programme explicitly targets novel and emerging carbon management technologies for hard-to-abate industrial emitters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ARENA — Industrial Transformation Stream (ITS) Round 3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OPEN | ROLLING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Open and ongoing since September 2025; AUD $180M available; no hard deadline — applications assessed on rolling basis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Supports feasibility studies, FEED, trials, demonstrations and full deployment for industrial decarbonisation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Complementary to CCTP: can fund project-development stages before or alongside a CCTP grant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Emissions Reduction Fund / ACCU Scheme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REVENUE MECHANISM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Verified carbon abatement from eligible CCS projects can generate Australian Carbon Credit Units (ACCUs)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Spot price Q1 2026: approximately AUD $30–42/t (elevated ahead of March Safeguard compliance deadline); live prices paywalled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Long-term outlook: flat at AUD $30–35/t to at least 2028, projected to rise toward AUD $70/t by 2035 (EY Net Zero Centre, January 2026)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ACCU revenue is conditional on project structure, CER method compliance and grant funding arrangements — treat as potential upside only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Clean Energy Finance Corporation (CEFC)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CO-INVESTMENT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Provides debt and equity co-investment for clean energy projects; relevant at construction/deployment stage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Has co-invested alongside ARENA in industrial decarbonisation (e.g. AUD $57.5M subordinated debt into East Rockingham WtE)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R&amp;D Tax Incentive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TAX INCENTIVE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Companies with aggregated turnover below AUD $20M: refundable offset at corporate tax rate + 18.5% premium (= 43.5% at the standard 25% rate); excess refunded as cash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Companies with aggregated turnover AUD $20M or above: non-refundable offset at corporate tax rate + 8.5% (0–2% R&amp;D intensity) or + 16.5% (above 2% R&amp;D intensity)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Relevant for ARK once an Australian entity is established; registration deadline within 10 months of income year end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Updates This Month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new items identified this period.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Changes Since Last Issue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changes detected versus the previous issue.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  <w:jc w:val="left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  <w:u w:val="none"/>
        </w:rPr>
        <w:t>MARKET &amp; POLICY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Market Background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Regulatory Driver — Safeguard Mechanism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REGULATORY DRIVER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Applies to 219 facilities (confirmed 2023-24; 2024-25 final data due to CER by 15 April 2026, current estimate ~220) emitting more than 100,000 tCO₂e/year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Covers mining, manufacturing, domestic transport, oil, gas and waste sectors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Default baselines decline at 4.9% per year through to 30 June 2030; trade-exposed baseline-adjusted (TEBA) facilities may qualify for a reduced minimum decline rate of 1–2%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Facilities in excess must surrender ACCUs or Safeguard Mechanism Credits (SMCs) by 31 March each year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The scheme's aggregate trajectory requires that net emissions from all Safeguard facilities do not exceed 100 MtCO₂e in 2029-30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 mandatory government review of Safeguard policy settings is scheduled for 2026-27, covering post-2030 trajectory, ACCU/SMC limits, use of international offsets, and calibration to Australia's updated NDC — outcome could materially affect compliance costs and the value of on-site capture investments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National Climate Targets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POLICY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Legislated 2030 target: 43% reduction below 2005 levels; net zero by 2050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Updated NDC submitted to the UN in September 2025: 62–70% below 2005 levels by 2035 — substantially increases pressure on hard-to-abate industrial sectors beyond 2030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Scale of CCS required: the 2023 Net Zero Australia study (cited in the government's Future Gas Strategy, May 2024) projects that Australia will need to achieve geological sequestration of approximately 150 Mtpa CO₂ by 2040 in most net-zero scenarios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Electricity Prices — Relevance to ARK's Fully-Electric Model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MARKET DRIVER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NEM wholesale average fell to approximately AUD $50/MWh in Q4 2025 (down ~44% year-on-year), driven by record renewable penetration exceeding 50% of NEM demand for the first time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Negative and near-zero wholesale price periods are increasing in all mainland NEM regions: AEMO recorded negative prices in 48.4% of intervals in South Australia and 43.1% in Victoria in Q4 2025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ARK's flexible electric system can operate preferentially during low/negative-price periods; amine scrubbing cannot (requires continuous steam)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Delivered industrial electricity cost varies significantly by state and contract structure — site-specific energy modelling is required for any client proposal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Key Emitting Sectors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OPPORTUNITY SECTORS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Waste-to-energy: combustion flue gas CO₂ typically 8–12%; Kwinana (Perth, WA) is Australia's only operational WtE facility (opened November 2025)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Cement and lime: ~4.7 Mt CO₂/year from Australian integrated cement production (2020-21); of this ~60% is process/calcination CO₂ (LEILAC domain), ~28% is thermal combustion flue gas at 14–25% CO₂ (ARK's domain), ~12% is indirect electricity emissions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Biomass / sugar co-generation: flue gas CO₂ typically 10–14%; Queensland bagasse mills are medium-term targets after an Australian ARK reference project is established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Gas-fired power: flue gas CO₂ typically 4–9% — lowest concentration, most challenging economic case; longer-term opportunity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CCS Storage Infrastructure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INFRASTRUCTURE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Gorgon CCS (WA, Chevron): Australia's first commercial CCS project; stored more than 11 Mt CO₂ to July 2025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Moomba CCS (SA, Santos): operational since October 2024; storing approximately 1.7 Mtpa CO₂ in depleted Cooper Basin gas fields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South West Hub (WA): proposed regional CO₂ storage hub in the Perth Basin; relevant to Kwinana/Adbri/ARK cluster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10 offshore storage acreage areas released in 2023 across Bonaparte, Browse, Northern Carnarvon, Perth, Otway, Bass and Gippsland basins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Updates This Month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new items identified this period.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Changes Since Last Issue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changes detected versus the previous issue.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  <w:jc w:val="left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  <w:u w:val="none"/>
        </w:rPr>
        <w:t>COMPETITORS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Market Background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Amine / MEA Post-Combustion Capture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INCUMBENT TECH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Mature technology; capture efficiency up to 95% but requires continuous steam for solvent regeneration — cost and energy penalty increases sharply at lower CO₂ concentrations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ARK states capture cost at low concentrations is €90–156/tonne CO₂ for amine scrubbing (company-stated benchmark; no independent Australian cost study found)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Cannot exploit low/negative electricity price periods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Not commercially deployed for WtE or biomass flue gas in Australia as of Q1 2026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Calix / LEILAC — Complementary, Not Competing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COMPLEMENTARY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LEILAC uses indirect heating to capture unavoidable process/calcination CO₂ (~60% of integrated cement plant emissions) — it does not address combustion flue gas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ARK addresses the thermal combustion flue gas portion (~28% of cement plant emissions, 14–25% CO₂ concentration) which LEILAC does not capture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 combined LEILAC + ARK proposal for a cement or lime plant covers whole-plant decarbonisation — the strongest possible CCTP Round 2 application structure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Current Australian status: AUD $15M CCTP Round 1 grant for Project ZETA (lime CCU demonstration, South Australia); pre-FEED completed 26 September 2025; now at FEED stage, on budget and on schedule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Heidelberg Materials (Cement Australia's parent) holds an indefinite global LEILAC licence; LEILAC-2 commissioning in Germany (Ennigerloh) targeted mid-2026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Membrane Separation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EMERGING TECH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Emerging technology; not commercially deployed at industrial scale for flue gas streams below ~10% CO₂ in Australia as of Q1 2026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Cryogenic Separation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EMERGING TECH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Fully electric process; suited to contaminated flue streams in principle; very high electricity consumption per tonne CO₂; not commercially deployed at WtE or biomass scale in Australia as of Q1 2026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CSIRO — Amine-Based PCC Research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ACTIVE R&amp;D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CSIRO has developed proprietary cyclic amine absorbents with claimed lower energy requirements than conventional MEA; partnership with US-based ION Clean Energy for commercialisation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Active R&amp;D programme targeting post-combustion capture across concentration ranges; no commercial deployment in Australia identified as of Q1 2026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Also relevant as a potential CCTP Round 2 lead partner for ARK (CSIRO is an ABN-holding eligible lead applicant)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Competitive Position Summary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SUMMARY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No clear public evidence of a competing commercial technology deployed for low-concentration flue gas capture at WtE, biomass or cement combustion flue gas scale in Australia as of Q1 2026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ARK's claim of cost leadership in the 4–15% CO₂ range is directionally credible based on publicly available information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Publication of independent pilot performance data from the Belgian 50 t/yr plant would be the single most important step toward commercial credibility with Australian buyers and grant panels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Updates This Month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new items identified this period.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Changes Since Last Issue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changes detected versus the previous issue.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320" w:after="0"/>
        <w:jc w:val="left"/>
      </w:pPr>
    </w:p>
    <w:p>
      <w:pPr>
        <w:spacing w:before="0" w:after="80"/>
      </w:pPr>
      <w:r>
        <w:rPr>
          <w:rFonts w:ascii="Calibri" w:hAnsi="Calibri"/>
          <w:b/>
          <w:i w:val="0"/>
          <w:color w:val="0D2D4A"/>
          <w:sz w:val="24"/>
          <w:u w:val="none"/>
        </w:rPr>
        <w:t>PARTNERS &amp; BUYERS</w:t>
      </w:r>
    </w:p>
    <w:p>
      <w:pPr>
        <w:spacing w:before="20" w:after="20"/>
        <w:pBdr>
          <w:bottom w:val="single" w:sz="10" w:space="1" w:color="0D2D4A"/>
        </w:pBdr>
      </w:pP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Market Background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Kwinana Energy Recovery — Perth, WA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PRIORITY 1 | WtE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Owner: ACCIONA (100% since March 2024); day-to-day operations and maintenance: Veolia (long-term O&amp;M services contract)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Capacity: 460,000 tonnes/year non-recyclable waste; 38 MW baseload electricity output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Officially opened 14 November 2025; processed 90,000+ tonnes in first three months of operation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Flue gas CO₂ concentration: approximately 8–12% — directly within ARK's target range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Australia's only operational WtE facility; ACCC (July 2025): no other WtE facility likely to become operational in WA within the next decade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Highest near-term priority: ACCIONA has strong incentive to lead on decarbonisation at its flagship asset; Veolia operates 65 similar facilities globally and has direct interest in green credentials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East Rockingham Resource Recovery Facility — Perth, WA</w:t>
      </w:r>
      <w:r>
        <w:t xml:space="preserve">  </w:t>
      </w:r>
      <w:r>
        <w:rPr>
          <w:rFonts w:ascii="Calibri" w:hAnsi="Calibri"/>
          <w:b/>
          <w:sz w:val="16"/>
          <w:shd w:val="clear" w:color="auto" w:fill="E67E22"/>
          <w:color w:val="FFFFFF"/>
        </w:rPr>
        <w:t xml:space="preserve">  WATCHLIST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Approved capacity: 300,000 t/year; 29 MW; AUD $511M project (AUD $18M ARENA grant, AUD $57.5M CEFC debt)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Currently in voluntary administration and receivership; ACCIONA's proposed acquisition was withdrawn on 13 October 2025 following ACCC competition concerns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As of Q1 2026, no new buyer or resolution has been publicly announced; operational timeline and ownership entirely uncertain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GG Advisory recommendation: do not engage until administration and ownership are fully resolved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Boral — Berrima Cement Works, NSW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PRIORITY 1 | CEMENT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Supplies approximately 40% of NSW and ACT cement (Boral, December 2024); combustion flue gas at approximately 14–25% CO₂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Current CCS activity: a recarbonation-based CCS pilot plant operational at Berrima (different and complementary mechanism to ARK, not competing)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AUD $25.45M NSW State Government funding secured for alternative fuels transition (coal → alternative fuels, targeting 60% non-coal kiln energy within 3 years); smaller federal fund supports the recarbonation pilot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Note: an earlier AUD $30M federal Calix/LEILAC project at Berrima was under the CCUS Hubs and Technologies Programme, cancelled by the federal government in October 2022; that project did not proceed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CEO confirmed CCS is part of the company's long-term net-zero-by-2050 strategy alongside near-term fuel switching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GG Advisory recommendation: approach after ARK has established a Calix partnership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Adbri / Cockburn Cement — Kwinana, WA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PRIORITY 1 | CEMENT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Majority-owned by CRH plc (acquisition completed 2024; Adbri delisted from ASX); Barro Group retains minority stake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Co-located with Kwinana Energy Recovery facility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Active LEILAC lime partnership: Calix awarded AUD $11M federal grant for a LEILAC low-emissions lime demonstration at Kwinana with Adbri (calcination CO₂); ARK would address combustion flue gas CO₂ remaining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Kwinana Upgrade Project: AUD $199M investment consolidating two cement sites; ~20% CO₂ reduction versus legacy operations; combustion emissions remain unaddressed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Cement Australia — Gladstone, QLD</w:t>
      </w:r>
      <w:r>
        <w:t xml:space="preserve">  </w:t>
      </w:r>
      <w:r>
        <w:rPr>
          <w:rFonts w:ascii="Calibri" w:hAnsi="Calibri"/>
          <w:b/>
          <w:sz w:val="16"/>
          <w:shd w:val="clear" w:color="auto" w:fill="0D2D4A"/>
          <w:color w:val="FFFFFF"/>
        </w:rPr>
        <w:t xml:space="preserve">  PRIORITY 2 | CEMENT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Joint venture of Holcim and Heidelberg Materials (Heidelberg holds indefinite global LEILAC licence)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Gladstone plant: MoU with Mitsubishi Gas Chemical Company (October 2022) to study green methanol production using captured CO₂ and green hydrogen (Carbopath™); Phase 1 — targeted AUD $150M first-stage plant, ~100,000 t/yr methanol — has a targeted Phase 1 commercial operation start of mid-2028 per Queensland Government; no Final Investment Decision confirmed publicly; treat as MoU/feasibility stage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ACCC approved Cement Australia's acquisition of BGC Cementitious in September 2025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GG Advisory recommendation: medium-term; combustion flue gas remains a potential ARK opportunity regardless of Gladstone methanol project outcome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CSIRO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GRANT PARTNER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National science agency; ABN holder; eligible CCTP Round 2 lead applicant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Provides independent technology validation — critical for ARK's credibility with Australian buyers and grant panels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Recommended first contact: CSIRO Energy group (Newcastle)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Calix Limited (ASX: CXL)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STRATEGIC PARTNER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Australian-listed company; Project ZETA pre-FEED completed 26 September 2025; now at FEED stage; AUD $15M CCTP Round 1 grant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Natural strategic partner: combined Calix (calcination CO₂) + ARK (combustion CO₂) covers whole-plant cement/lime decarbonisation — strongest possible CCTP Round 2 application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HILT CRC</w:t>
      </w:r>
      <w:r>
        <w:t xml:space="preserve">  </w:t>
      </w:r>
      <w:r>
        <w:rPr>
          <w:rFonts w:ascii="Calibri" w:hAnsi="Calibri"/>
          <w:b/>
          <w:sz w:val="16"/>
          <w:shd w:val="clear" w:color="auto" w:fill="1B7A6B"/>
          <w:color w:val="FFFFFF"/>
        </w:rPr>
        <w:t xml:space="preserve">  GRANT PARTNER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Heavy Industry Low-Carbon Transition CRC; members include Adbri, Calix, University of Adelaide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Provides industry network access and potential co-applicant status for grant applications</w:t>
      </w:r>
    </w:p>
    <w:p>
      <w:pPr>
        <w:spacing w:before="160" w:after="40"/>
        <w:jc w:val="left"/>
      </w:pPr>
      <w:r>
        <w:rPr>
          <w:rFonts w:ascii="Calibri" w:hAnsi="Calibri"/>
          <w:b/>
          <w:i w:val="0"/>
          <w:color w:val="2C2C2C"/>
          <w:sz w:val="21"/>
          <w:u w:val="none"/>
        </w:rPr>
        <w:t>Wilmar Sugar / MSF Sugar — Queensland</w:t>
      </w:r>
      <w:r>
        <w:t xml:space="preserve">  </w:t>
      </w:r>
      <w:r>
        <w:rPr>
          <w:rFonts w:ascii="Calibri" w:hAnsi="Calibri"/>
          <w:b/>
          <w:sz w:val="16"/>
          <w:shd w:val="clear" w:color="auto" w:fill="888888"/>
          <w:color w:val="FFFFFF"/>
        </w:rPr>
        <w:t xml:space="preserve">  PRIORITY 3 | BIOMASS  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Operate bagasse co-generation mills producing approximately 10–14% CO₂ flue gas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 w:val="0"/>
          <w:i w:val="0"/>
          <w:color w:val="2C2C2C"/>
          <w:sz w:val="20"/>
          <w:u w:val="none"/>
        </w:rPr>
        <w:t>GG Advisory recommendation: viable ARK target after an Australian reference project is established — do not engage before ARK pilot results available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Updates This Month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new items identified this period.</w:t>
      </w:r>
    </w:p>
    <w:p>
      <w:pPr>
        <w:spacing w:before="200" w:after="80"/>
        <w:ind w:left="216"/>
        <w:pBdr>
          <w:left w:val="single" w:sz="18" w:space="6" w:color="1B7A6B"/>
        </w:pBdr>
      </w:pPr>
      <w:r>
        <w:rPr>
          <w:rFonts w:ascii="Calibri" w:hAnsi="Calibri"/>
          <w:b/>
          <w:i w:val="0"/>
          <w:color w:val="1B7A6B"/>
          <w:sz w:val="21"/>
          <w:u w:val="none"/>
        </w:rPr>
        <w:t>Changes Since Last Issue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555555"/>
          <w:sz w:val="20"/>
          <w:u w:val="none"/>
        </w:rPr>
        <w:t>No changes detected versus the previous issue.</w:t>
      </w:r>
    </w:p>
    <w:p>
      <w:pPr>
        <w:spacing w:before="20" w:after="20"/>
        <w:pBdr>
          <w:bottom w:val="single" w:sz="6" w:space="1" w:color="1B7A6B"/>
        </w:pBdr>
      </w:pPr>
    </w:p>
    <w:p>
      <w:pPr>
        <w:spacing w:before="200" w:after="0"/>
        <w:jc w:val="left"/>
      </w:pPr>
    </w:p>
    <w:p>
      <w:pPr>
        <w:spacing w:before="20" w:after="20"/>
        <w:pBdr>
          <w:bottom w:val="single" w:sz="6" w:space="1" w:color="AAAAAA"/>
        </w:pBdr>
      </w:pPr>
    </w:p>
    <w:p>
      <w:pPr>
        <w:spacing w:before="80" w:after="40"/>
        <w:jc w:val="left"/>
      </w:pPr>
      <w:r>
        <w:rPr>
          <w:rFonts w:ascii="Calibri" w:hAnsi="Calibri"/>
          <w:b w:val="0"/>
          <w:i/>
          <w:color w:val="888888"/>
          <w:sz w:val="17"/>
          <w:u w:val="none"/>
        </w:rPr>
        <w:t>© GG Advisory  |  gg-advisory.org  |  This brief is prepared exclusively for ARK Capture Solutions. Confidential — not for redistribution.</w:t>
      </w:r>
    </w:p>
    <w:p>
      <w:pPr>
        <w:spacing w:before="0" w:after="0"/>
        <w:jc w:val="left"/>
      </w:pPr>
      <w:r>
        <w:rPr>
          <w:rFonts w:ascii="Calibri" w:hAnsi="Calibri"/>
          <w:b w:val="0"/>
          <w:i w:val="0"/>
          <w:color w:val="888888"/>
          <w:sz w:val="17"/>
          <w:u w:val="none"/>
        </w:rPr>
        <w:t>Generated: 02 June 2026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