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val="0"/>
          <w:i w:val="0"/>
          <w:color w:val="555555"/>
          <w:sz w:val="18"/>
          <w:u w:val="none"/>
        </w:rPr>
        <w:t>GG Advisory  |  APAC Carbon Capture Intelligence</w:t>
      </w:r>
    </w:p>
    <w:p>
      <w:pPr>
        <w:spacing w:before="0" w:after="120"/>
      </w:pPr>
      <w:r>
        <w:rPr>
          <w:rFonts w:ascii="Calibri" w:hAnsi="Calibri"/>
          <w:b w:val="0"/>
          <w:i/>
          <w:color w:val="555555"/>
          <w:sz w:val="18"/>
          <w:u w:val="none"/>
        </w:rPr>
        <w:t>Prepared for ARK Capture Solutions  |  Confidential</w:t>
      </w:r>
    </w:p>
    <w:p>
      <w:pPr>
        <w:spacing w:before="20" w:after="20"/>
        <w:pBdr>
          <w:bottom w:val="single" w:sz="20" w:space="1" w:color="1B7A6B"/>
        </w:pBdr>
      </w:pPr>
    </w:p>
    <w:p>
      <w:pPr>
        <w:spacing w:before="160" w:after="40"/>
      </w:pPr>
      <w:r>
        <w:rPr>
          <w:rFonts w:ascii="Calibri" w:hAnsi="Calibri"/>
          <w:b/>
          <w:i w:val="0"/>
          <w:color w:val="1B7A6B"/>
          <w:sz w:val="40"/>
          <w:u w:val="none"/>
        </w:rPr>
        <w:t>ARK Intelligence Brief — February 2026</w:t>
      </w:r>
    </w:p>
    <w:p>
      <w:pPr>
        <w:spacing w:before="0" w:after="200"/>
      </w:pPr>
      <w:r>
        <w:rPr>
          <w:rFonts w:ascii="Calibri" w:hAnsi="Calibri"/>
          <w:b w:val="0"/>
          <w:i/>
          <w:color w:val="555555"/>
          <w:sz w:val="21"/>
          <w:u w:val="none"/>
        </w:rPr>
        <w:t>Monthly AU/APAC intelligence on grants, policy, competitors, and industrial partners</w:t>
      </w:r>
    </w:p>
    <w:p>
      <w:pPr>
        <w:spacing w:before="20" w:after="20"/>
        <w:pBdr>
          <w:bottom w:val="single" w:sz="8" w:space="1" w:color="1B7A6B"/>
        </w:pBdr>
      </w:pPr>
    </w:p>
    <w:p>
      <w:pPr>
        <w:spacing w:before="240" w:after="80"/>
        <w:jc w:val="left"/>
      </w:pPr>
      <w:r>
        <w:rPr>
          <w:rFonts w:ascii="Calibri" w:hAnsi="Calibri"/>
          <w:b/>
          <w:i w:val="0"/>
          <w:color w:val="0D2D4A"/>
          <w:sz w:val="24"/>
          <w:u w:val="none"/>
        </w:rPr>
        <w:t>Executive Summary</w:t>
      </w:r>
    </w:p>
    <w:p>
      <w:pPr>
        <w:pStyle w:val="ListBullet"/>
        <w:spacing w:before="40" w:after="40"/>
      </w:pPr>
      <w:r>
        <w:rPr>
          <w:rFonts w:ascii="Calibri" w:hAnsi="Calibri"/>
          <w:b w:val="0"/>
          <w:i w:val="0"/>
          <w:color w:val="2C2C2C"/>
          <w:sz w:val="21"/>
          <w:u w:val="none"/>
        </w:rPr>
        <w:t>No specific grant amounts, policy changes, or company names were retrieved.</w:t>
      </w:r>
    </w:p>
    <w:p>
      <w:pPr>
        <w:pStyle w:val="ListBullet"/>
        <w:spacing w:before="40" w:after="40"/>
      </w:pPr>
      <w:r>
        <w:rPr>
          <w:rFonts w:ascii="Calibri" w:hAnsi="Calibri"/>
          <w:b w:val="0"/>
          <w:i w:val="0"/>
          <w:color w:val="2C2C2C"/>
          <w:sz w:val="21"/>
          <w:u w:val="none"/>
        </w:rPr>
        <w:t>No specific grant amounts, policy changes, or company names were retrieved.</w:t>
      </w:r>
    </w:p>
    <w:p>
      <w:pPr>
        <w:pStyle w:val="ListBullet"/>
        <w:spacing w:before="40" w:after="40"/>
      </w:pPr>
      <w:r>
        <w:rPr>
          <w:rFonts w:ascii="Calibri" w:hAnsi="Calibri"/>
          <w:b w:val="0"/>
          <w:i w:val="0"/>
          <w:color w:val="2C2C2C"/>
          <w:sz w:val="21"/>
          <w:u w:val="none"/>
        </w:rPr>
        <w:t>No specific grant amounts, policy changes, or company names were retrieved.</w:t>
      </w:r>
    </w:p>
    <w:p>
      <w:pPr>
        <w:spacing w:before="320" w:after="0"/>
        <w:jc w:val="left"/>
      </w:pPr>
    </w:p>
    <w:p>
      <w:pPr>
        <w:spacing w:before="0" w:after="80"/>
        <w:jc w:val="left"/>
      </w:pPr>
      <w:r>
        <w:rPr>
          <w:rFonts w:ascii="Calibri" w:hAnsi="Calibri"/>
          <w:b/>
          <w:i w:val="0"/>
          <w:color w:val="0D2D4A"/>
          <w:sz w:val="24"/>
          <w:u w:val="none"/>
        </w:rPr>
        <w:t>GRANTS &amp; FUNDING</w:t>
      </w:r>
    </w:p>
    <w:p>
      <w:pPr>
        <w:spacing w:before="20" w:after="20"/>
        <w:pBdr>
          <w:bottom w:val="single" w:sz="10" w:space="1" w:color="0D2D4A"/>
        </w:pBdr>
      </w:pPr>
    </w:p>
    <w:p>
      <w:pPr>
        <w:spacing w:before="80" w:after="80"/>
        <w:jc w:val="left"/>
      </w:pPr>
      <w:r>
        <w:rPr>
          <w:rFonts w:ascii="Calibri" w:hAnsi="Calibri"/>
          <w:b w:val="0"/>
          <w:i/>
          <w:color w:val="555555"/>
          <w:sz w:val="21"/>
          <w:u w:val="none"/>
        </w:rPr>
        <w:t>No in-range items selected for this section.</w:t>
      </w:r>
    </w:p>
    <w:p>
      <w:pPr>
        <w:spacing w:before="320" w:after="0"/>
        <w:jc w:val="left"/>
      </w:pPr>
    </w:p>
    <w:p>
      <w:pPr>
        <w:spacing w:before="0" w:after="80"/>
        <w:jc w:val="left"/>
      </w:pPr>
      <w:r>
        <w:rPr>
          <w:rFonts w:ascii="Calibri" w:hAnsi="Calibri"/>
          <w:b/>
          <w:i w:val="0"/>
          <w:color w:val="0D2D4A"/>
          <w:sz w:val="24"/>
          <w:u w:val="none"/>
        </w:rPr>
        <w:t>MARKET &amp; POLICY</w:t>
      </w:r>
    </w:p>
    <w:p>
      <w:pPr>
        <w:spacing w:before="20" w:after="20"/>
        <w:pBdr>
          <w:bottom w:val="single" w:sz="10" w:space="1" w:color="0D2D4A"/>
        </w:pBdr>
      </w:pPr>
    </w:p>
    <w:p>
      <w:pPr>
        <w:spacing w:before="80" w:after="80"/>
        <w:jc w:val="left"/>
      </w:pPr>
      <w:r>
        <w:rPr>
          <w:rFonts w:ascii="Calibri" w:hAnsi="Calibri"/>
          <w:b w:val="0"/>
          <w:i/>
          <w:color w:val="555555"/>
          <w:sz w:val="21"/>
          <w:u w:val="none"/>
        </w:rPr>
        <w:t>No in-range items selected for this section.</w:t>
      </w:r>
    </w:p>
    <w:p>
      <w:pPr>
        <w:spacing w:before="320" w:after="0"/>
        <w:jc w:val="left"/>
      </w:pPr>
    </w:p>
    <w:p>
      <w:pPr>
        <w:spacing w:before="0" w:after="80"/>
        <w:jc w:val="left"/>
      </w:pPr>
      <w:r>
        <w:rPr>
          <w:rFonts w:ascii="Calibri" w:hAnsi="Calibri"/>
          <w:b/>
          <w:i w:val="0"/>
          <w:color w:val="0D2D4A"/>
          <w:sz w:val="24"/>
          <w:u w:val="none"/>
        </w:rPr>
        <w:t>COMPETITORS</w:t>
      </w:r>
    </w:p>
    <w:p>
      <w:pPr>
        <w:spacing w:before="20" w:after="20"/>
        <w:pBdr>
          <w:bottom w:val="single" w:sz="10" w:space="1" w:color="0D2D4A"/>
        </w:pBdr>
      </w:pPr>
    </w:p>
    <w:p>
      <w:pPr>
        <w:spacing w:before="80" w:after="80"/>
        <w:jc w:val="left"/>
      </w:pPr>
      <w:r>
        <w:rPr>
          <w:rFonts w:ascii="Calibri" w:hAnsi="Calibri"/>
          <w:b w:val="0"/>
          <w:i/>
          <w:color w:val="555555"/>
          <w:sz w:val="21"/>
          <w:u w:val="none"/>
        </w:rPr>
        <w:t>No in-range items selected for this section.</w:t>
      </w:r>
    </w:p>
    <w:p>
      <w:pPr>
        <w:spacing w:before="320" w:after="0"/>
        <w:jc w:val="left"/>
      </w:pPr>
    </w:p>
    <w:p>
      <w:pPr>
        <w:spacing w:before="0" w:after="80"/>
        <w:jc w:val="left"/>
      </w:pPr>
      <w:r>
        <w:rPr>
          <w:rFonts w:ascii="Calibri" w:hAnsi="Calibri"/>
          <w:b/>
          <w:i w:val="0"/>
          <w:color w:val="0D2D4A"/>
          <w:sz w:val="24"/>
          <w:u w:val="none"/>
        </w:rPr>
        <w:t>PARTNERS &amp; BUYERS</w:t>
      </w:r>
    </w:p>
    <w:p>
      <w:pPr>
        <w:spacing w:before="20" w:after="20"/>
        <w:pBdr>
          <w:bottom w:val="single" w:sz="10" w:space="1" w:color="0D2D4A"/>
        </w:pBdr>
      </w:pPr>
    </w:p>
    <w:p>
      <w:pPr>
        <w:spacing w:before="80" w:after="80"/>
        <w:jc w:val="left"/>
      </w:pPr>
      <w:r>
        <w:rPr>
          <w:rFonts w:ascii="Calibri" w:hAnsi="Calibri"/>
          <w:b w:val="0"/>
          <w:i/>
          <w:color w:val="555555"/>
          <w:sz w:val="21"/>
          <w:u w:val="none"/>
        </w:rPr>
        <w:t>No in-range items selected for this section.</w:t>
      </w:r>
    </w:p>
    <w:p>
      <w:pPr>
        <w:spacing w:before="320" w:after="0"/>
        <w:jc w:val="left"/>
      </w:pPr>
    </w:p>
    <w:p>
      <w:pPr>
        <w:spacing w:before="0" w:after="80"/>
        <w:jc w:val="left"/>
      </w:pPr>
      <w:r>
        <w:rPr>
          <w:rFonts w:ascii="Calibri" w:hAnsi="Calibri"/>
          <w:b/>
          <w:i w:val="0"/>
          <w:color w:val="0D2D4A"/>
          <w:sz w:val="24"/>
          <w:u w:val="none"/>
        </w:rPr>
        <w:t>CLEANTECH &amp; START-UP ECOSYSTEM — GRANTS &amp; ACCELERATORS RADAR</w:t>
      </w:r>
    </w:p>
    <w:p>
      <w:pPr>
        <w:spacing w:before="20" w:after="20"/>
        <w:pBdr>
          <w:bottom w:val="single" w:sz="10" w:space="1" w:color="0D2D4A"/>
        </w:pBdr>
      </w:pPr>
    </w:p>
    <w:p>
      <w:pPr>
        <w:spacing w:before="200" w:after="40"/>
        <w:jc w:val="left"/>
      </w:pPr>
      <w:r>
        <w:rPr>
          <w:rFonts w:ascii="Calibri" w:hAnsi="Calibri"/>
          <w:b/>
          <w:i w:val="0"/>
          <w:color w:val="2C2C2C"/>
          <w:sz w:val="22"/>
          <w:u w:val="none"/>
        </w:rPr>
        <w:t>Closing soon — deadlines within the next 60 days</w:t>
      </w:r>
    </w:p>
    <w:p>
      <w:pPr>
        <w:spacing w:before="200" w:after="40"/>
        <w:jc w:val="left"/>
      </w:pPr>
      <w:r>
        <w:rPr>
          <w:rFonts w:ascii="Calibri" w:hAnsi="Calibri"/>
          <w:b/>
          <w:i w:val="0"/>
          <w:color w:val="2C2C2C"/>
          <w:sz w:val="22"/>
          <w:u w:val="none"/>
        </w:rPr>
        <w:t>EnergyLab Climate Solutions Accelerator 2026</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Australia's largest cleantech accelerator offers early-stage and growth-stage climate-tech companies $80,000–$100,000 equity investment plus access to EnergyLab's investor network, mentors, and corporate partners. The 2026 cohort runs May–October. Any Australian startup is eligible; no sector restriction within climate/clean energy.</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Australia's highest-profile pathway for climate-tech founders seeking institutional backing and market entry. First-round interviews run 6–24 April 2026 for shortlisted applicants.</w:t>
      </w:r>
    </w:p>
    <w:p>
      <w:pPr>
        <w:spacing w:before="40" w:after="60"/>
        <w:jc w:val="left"/>
      </w:pPr>
      <w:r>
        <w:rPr>
          <w:rFonts w:ascii="Calibri" w:hAnsi="Calibri"/>
          <w:b/>
          <w:i w:val="0"/>
          <w:color w:val="555555"/>
          <w:sz w:val="21"/>
          <w:u w:val="none"/>
        </w:rPr>
        <w:t xml:space="preserve">Signals to watch:  </w:t>
      </w:r>
      <w:r>
        <w:rPr>
          <w:rFonts w:ascii="Calibri" w:hAnsi="Calibri"/>
          <w:b w:val="0"/>
          <w:i w:val="0"/>
          <w:color w:val="2C2C2C"/>
          <w:sz w:val="21"/>
          <w:u w:val="none"/>
        </w:rPr>
        <w:t>EnergyLab also runs a separate Scaleup Program for later-stage companies (June–October 2026, non-dilutive); applications remain open after the accelerator closes.</w:t>
      </w:r>
    </w:p>
    <w:p>
      <w:pPr>
        <w:spacing w:before="200" w:after="40"/>
        <w:jc w:val="left"/>
      </w:pPr>
      <w:r>
        <w:rPr>
          <w:rFonts w:ascii="Calibri" w:hAnsi="Calibri"/>
          <w:b/>
          <w:i w:val="0"/>
          <w:color w:val="2C2C2C"/>
          <w:sz w:val="22"/>
          <w:u w:val="none"/>
        </w:rPr>
        <w:t>ACT Innovation Connect (ICON) Grant</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The ACT Government's Innovation Connect grant provides $10,000–$30,000 in matched funding to early-stage Canberra-based businesses. Eligible costs include prototyping, market testing, IP/legal and commercialisation activities. The EOI round closes 10 April 2026.</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One of the few grants with a firm April deadline. Climate-tech founders based in or willing to establish in the ACT should apply immediately.</w:t>
      </w:r>
    </w:p>
    <w:p>
      <w:pPr>
        <w:spacing w:before="200" w:after="40"/>
        <w:jc w:val="left"/>
      </w:pPr>
      <w:r>
        <w:rPr>
          <w:rFonts w:ascii="Calibri" w:hAnsi="Calibri"/>
          <w:b/>
          <w:i w:val="0"/>
          <w:color w:val="2C2C2C"/>
          <w:sz w:val="22"/>
          <w:u w:val="none"/>
        </w:rPr>
        <w:t>WA: Clean Energy Future Fund — Round 4</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The WA Government's $9 million Round 4 provides grants of $100,000–$4,000,000 for clean energy projects that reduce greenhouse gas emissions. Priority areas include decarbonisation of heavy industry, long-duration energy storage, green exports, renewable energy supply, and projects with demonstrated benefits to First Nations peoples. Part of a $37M total CEFF commitment to 2030–31. Co-contribution required; exact ratio varies by project.</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The largest competitive clean energy grant currently open in WA. Well-suited for startups with deployable technology in energy storage, electrification, or renewable manufacturing seeking first in-market project funding.</w:t>
      </w:r>
    </w:p>
    <w:p>
      <w:pPr>
        <w:spacing w:before="200" w:after="40"/>
        <w:jc w:val="left"/>
      </w:pPr>
      <w:r>
        <w:rPr>
          <w:rFonts w:ascii="Calibri" w:hAnsi="Calibri"/>
          <w:b/>
          <w:i w:val="0"/>
          <w:color w:val="2C2C2C"/>
          <w:sz w:val="22"/>
          <w:u w:val="none"/>
        </w:rPr>
        <w:t>NSW Emerging Technology Commercialisation Fund (ETCF) 2026</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The NSW Office of the Chief Scientist and Engineer offers $500,000–$2M per project from a $20M pool. Priority sectors include net-zero technologies, local manufacturing, and housing innovation. Funding is a repayable grant (repayment triggered when EBITDA exceeds $500K). Matched funding required. Full applications due July 2026; outcomes October 2026.</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One of the largest state-level deep-tech commercialisation grants in Australia this year. Apply via SmartyGrants — the expression of interest stage closes 29 April.</w:t>
      </w:r>
    </w:p>
    <w:p>
      <w:pPr>
        <w:spacing w:before="200" w:after="40"/>
        <w:jc w:val="left"/>
      </w:pPr>
      <w:r>
        <w:rPr>
          <w:rFonts w:ascii="Calibri" w:hAnsi="Calibri"/>
          <w:b/>
          <w:i w:val="0"/>
          <w:color w:val="2C2C2C"/>
          <w:sz w:val="22"/>
          <w:u w:val="none"/>
        </w:rPr>
        <w:t>National programs — open on a rolling basis</w:t>
      </w:r>
    </w:p>
    <w:p>
      <w:pPr>
        <w:spacing w:before="200" w:after="40"/>
        <w:jc w:val="left"/>
      </w:pPr>
      <w:r>
        <w:rPr>
          <w:rFonts w:ascii="Calibri" w:hAnsi="Calibri"/>
          <w:b/>
          <w:i w:val="0"/>
          <w:color w:val="2C2C2C"/>
          <w:sz w:val="22"/>
          <w:u w:val="none"/>
        </w:rPr>
        <w:t>Australia's Economic Accelerator (AEA) — Ignite &amp; Innovate</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Australia's $1.6 billion Economic Accelerator funds university research commercialisation through two streams. Ignite grants (up to $500K, 12 months) support proof-of-concept and laboratory testing; Innovate grants (up to $5M) advance technologies from lab to proof-of-scale via industry-university collaboration. Round 1 allocated over $130M across 194 projects. Climate-tech, energy, and materials ventures regularly feature. Requires a university lead applicant with an industry co-applicant.</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The primary pathway for deep-tech climate startups spun out of Australian universities to access non-dilutive federal commercialisation funding. Investors and founders with university IP should engage their tech-transfer office about a joint AEA application.</w:t>
      </w:r>
    </w:p>
    <w:p>
      <w:pPr>
        <w:spacing w:before="40" w:after="60"/>
        <w:jc w:val="left"/>
      </w:pPr>
      <w:r>
        <w:rPr>
          <w:rFonts w:ascii="Calibri" w:hAnsi="Calibri"/>
          <w:b/>
          <w:i w:val="0"/>
          <w:color w:val="555555"/>
          <w:sz w:val="21"/>
          <w:u w:val="none"/>
        </w:rPr>
        <w:t xml:space="preserve">Signals to watch:  </w:t>
      </w:r>
      <w:r>
        <w:rPr>
          <w:rFonts w:ascii="Calibri" w:hAnsi="Calibri"/>
          <w:b w:val="0"/>
          <w:i w:val="0"/>
          <w:color w:val="2C2C2C"/>
          <w:sz w:val="21"/>
          <w:u w:val="none"/>
        </w:rPr>
        <w:t>Round 2 details and opening dates are published on aea.gov.au. The $1.6B envelope means multiple rounds are expected across 2026–2030.</w:t>
      </w:r>
    </w:p>
    <w:p>
      <w:pPr>
        <w:spacing w:before="200" w:after="40"/>
        <w:jc w:val="left"/>
      </w:pPr>
      <w:r>
        <w:rPr>
          <w:rFonts w:ascii="Calibri" w:hAnsi="Calibri"/>
          <w:b/>
          <w:i w:val="0"/>
          <w:color w:val="2C2C2C"/>
          <w:sz w:val="22"/>
          <w:u w:val="none"/>
        </w:rPr>
        <w:t>ARENA Advancing Renewables Program</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ARENA's foundational program funds development, demonstration, and pre-commercial deployment across all renewable energy and grid technologies. No fixed cap per project; milestone-based disbursement. Submit an EOI in ARENANet — ARENA staff recommend calling before submitting. Recent examples include $5M to a Queensland critical minerals startup (February 2026).</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Covers the widest range of clean energy technologies of any national program. Suitable for companies with working prototypes ready for demonstration at scale.</w:t>
      </w:r>
    </w:p>
    <w:p>
      <w:pPr>
        <w:spacing w:before="200" w:after="40"/>
        <w:jc w:val="left"/>
      </w:pPr>
      <w:r>
        <w:rPr>
          <w:rFonts w:ascii="Calibri" w:hAnsi="Calibri"/>
          <w:b/>
          <w:i w:val="0"/>
          <w:color w:val="2C2C2C"/>
          <w:sz w:val="22"/>
          <w:u w:val="none"/>
        </w:rPr>
        <w:t>Future Made in Australia (FMIA) Innovation Fund — ARENA</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ARENA's flagship $1.5 billion fund targets three priority streams: Green Metals ($750M for iron, steel, alumina, aluminium), Renewable Energy Technology Manufacturing ($200M for batteries, solar components, electrolysers), and Low Carbon Liquid Fuels ($250M for sustainable aviation fuel and renewable diesel). Minimum 50% co-contribution required. Grants above $50M require ministerial sign-off. Submit via Expression of Interest in ARENANet.</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The largest single cleantech manufacturing opportunity in Australia's history. ARENA encourages early engagement before submitting an EOI — contact their team first.</w:t>
      </w:r>
    </w:p>
    <w:p>
      <w:pPr>
        <w:spacing w:before="200" w:after="40"/>
        <w:jc w:val="left"/>
      </w:pPr>
      <w:r>
        <w:rPr>
          <w:rFonts w:ascii="Calibri" w:hAnsi="Calibri"/>
          <w:b/>
          <w:i w:val="0"/>
          <w:color w:val="2C2C2C"/>
          <w:sz w:val="22"/>
          <w:u w:val="none"/>
        </w:rPr>
        <w:t>Brinc / Artesian Clean Energy Accelerator</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A 100% online 3-month accelerator backed by Artesian's Clean Energy Seed Fund, accepting Australian cleantech startups on a rolling basis. Startups receive $150K cash plus $110K in program support in exchange for equity, with follow-on capital of $200K–$2M available for high performers. Focuses on energy transition, renewable energy, and environmental impact reduction. Unique feature: a $30K participation fee is deducted from the investment at acceptance.</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One of the few cleantech-exclusive accelerators in Australia with a rolling application process and clear follow-on capital pathway via Artesian. The online format removes geography barriers.</w:t>
      </w:r>
    </w:p>
    <w:p>
      <w:pPr>
        <w:spacing w:before="40" w:after="60"/>
        <w:jc w:val="left"/>
      </w:pPr>
      <w:r>
        <w:rPr>
          <w:rFonts w:ascii="Calibri" w:hAnsi="Calibri"/>
          <w:b/>
          <w:i w:val="0"/>
          <w:color w:val="555555"/>
          <w:sz w:val="21"/>
          <w:u w:val="none"/>
        </w:rPr>
        <w:t xml:space="preserve">Signals to watch:  </w:t>
      </w:r>
      <w:r>
        <w:rPr>
          <w:rFonts w:ascii="Calibri" w:hAnsi="Calibri"/>
          <w:b w:val="0"/>
          <w:i w:val="0"/>
          <w:color w:val="2C2C2C"/>
          <w:sz w:val="21"/>
          <w:u w:val="none"/>
        </w:rPr>
        <w:t>Artesian's Clean Energy Seed Fund can follow with $200K–$2M. Artesian is also active in CEFC-backed co-investment mandates, providing access to further institutional capital.</w:t>
      </w:r>
    </w:p>
    <w:p>
      <w:pPr>
        <w:spacing w:before="200" w:after="40"/>
        <w:jc w:val="left"/>
      </w:pPr>
      <w:r>
        <w:rPr>
          <w:rFonts w:ascii="Calibri" w:hAnsi="Calibri"/>
          <w:b/>
          <w:i w:val="0"/>
          <w:color w:val="2C2C2C"/>
          <w:sz w:val="22"/>
          <w:u w:val="none"/>
        </w:rPr>
        <w:t>CEFC / Virescent Ventures Fund II</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Australia's largest dedicated climate-tech venture fund, backed by CEFC, Westpac, QIC, and Breakthrough Victoria. Virescent Ventures Fund II invests from pre-seed to late stage across climate hardware, software, and services. Apply directly to Virescent; no fixed application rounds or deadlines. VIC-based companies benefit from Breakthrough Victoria's 25% allocation requirement.</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For startups that have cleared product-market fit and are ready for institutional equity, this is the most relevant Australian climate-tech fund currently deploying capital.</w:t>
      </w:r>
    </w:p>
    <w:p>
      <w:pPr>
        <w:spacing w:before="200" w:after="40"/>
        <w:jc w:val="left"/>
      </w:pPr>
      <w:r>
        <w:rPr>
          <w:rFonts w:ascii="Calibri" w:hAnsi="Calibri"/>
          <w:b/>
          <w:i w:val="0"/>
          <w:color w:val="2C2C2C"/>
          <w:sz w:val="22"/>
          <w:u w:val="none"/>
        </w:rPr>
        <w:t>CSIRO ON Accelerate — Cohort 12</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Australia's premier deep-tech non-dilutive accelerator for research-driven startups. Top teams receive up to $80,000 cash from the program's internal fund. Cohort 11 is underway with a showcase on 11 June 2026 in Melbourne. Cohort 12 applications are expected to open mid-2026. Climate-tech, energy, and materials ventures regularly feature.</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The most prestigious non-dilutive pathway for early-stage deep-tech founders in Australia. Subscribe to on@csiro.au for early notification when Cohort 12 opens.</w:t>
      </w:r>
    </w:p>
    <w:p>
      <w:pPr>
        <w:spacing w:before="200" w:after="40"/>
        <w:jc w:val="left"/>
      </w:pPr>
      <w:r>
        <w:rPr>
          <w:rFonts w:ascii="Calibri" w:hAnsi="Calibri"/>
          <w:b/>
          <w:i w:val="0"/>
          <w:color w:val="2C2C2C"/>
          <w:sz w:val="22"/>
          <w:u w:val="none"/>
        </w:rPr>
        <w:t>EnergyLab Scaleup Program 2026</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EnergyLab's non-dilutive Scaleup Program runs June–October 2026 across three structured modules, culminating in a public showcase at the AllEnergy Conference in October 2026. Designed for startups and energy companies with market-ready technology seeking to accelerate commercial deployment. Applications are currently open.</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An ideal companion to the Climate Solutions Accelerator for later-stage founders. Non-dilutive and free to apply — the AllEnergy showcase provides direct access to energy sector buyers.</w:t>
      </w:r>
    </w:p>
    <w:p>
      <w:pPr>
        <w:spacing w:before="200" w:after="40"/>
        <w:jc w:val="left"/>
      </w:pPr>
      <w:r>
        <w:rPr>
          <w:rFonts w:ascii="Calibri" w:hAnsi="Calibri"/>
          <w:b/>
          <w:i w:val="0"/>
          <w:color w:val="2C2C2C"/>
          <w:sz w:val="22"/>
          <w:u w:val="none"/>
        </w:rPr>
        <w:t>Hydrogen Headstart — Round 2</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Round 2 of ARENA's Hydrogen Headstart program provides up to $2 billion in Headstart Production Credits — revenue support per kilogram of renewable hydrogen produced over a 10-year operational period. Structured as a two-stage competitive process (EOI then Full Application). Eligible projects produce renewable hydrogen or derivatives such as green ammonia, methanol, or green metals at commercial scale. Part of the Future Made in Australia plan.</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The primary federal subsidy mechanism for first-mover commercial-scale green hydrogen projects. The per-kg production credit structure de-risks offtake economics for large projects. Contact ARENA early via hydrogenheadstart@arena.gov.au before submitting an EOI.</w:t>
      </w:r>
    </w:p>
    <w:p>
      <w:pPr>
        <w:spacing w:before="40" w:after="60"/>
        <w:jc w:val="left"/>
      </w:pPr>
      <w:r>
        <w:rPr>
          <w:rFonts w:ascii="Calibri" w:hAnsi="Calibri"/>
          <w:b/>
          <w:i w:val="0"/>
          <w:color w:val="555555"/>
          <w:sz w:val="21"/>
          <w:u w:val="none"/>
        </w:rPr>
        <w:t xml:space="preserve">Signals to watch:  </w:t>
      </w:r>
      <w:r>
        <w:rPr>
          <w:rFonts w:ascii="Calibri" w:hAnsi="Calibri"/>
          <w:b w:val="0"/>
          <w:i w:val="0"/>
          <w:color w:val="2C2C2C"/>
          <w:sz w:val="21"/>
          <w:u w:val="none"/>
        </w:rPr>
        <w:t>The Hydrogen Production Tax Incentive ($2/kg refundable tax offset from 1 July 2027) is designed to complement Headstart, bridging the revenue gap until market prices reach parity.</w:t>
      </w:r>
    </w:p>
    <w:p>
      <w:pPr>
        <w:spacing w:before="200" w:after="40"/>
        <w:jc w:val="left"/>
      </w:pPr>
      <w:r>
        <w:rPr>
          <w:rFonts w:ascii="Calibri" w:hAnsi="Calibri"/>
          <w:b/>
          <w:i w:val="0"/>
          <w:color w:val="2C2C2C"/>
          <w:sz w:val="22"/>
          <w:u w:val="none"/>
        </w:rPr>
        <w:t>Industry Growth Program (IGP)</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The federal government's primary SME commercialisation program offers matched grants aligned with National Reconstruction Fund priorities including renewables, low-emissions technologies, and critical minerals. Tier 1: Early-Stage Commercialisation ($50K–$250K, dollar-for-dollar matched). Tier 2: Commercialisation &amp; Growth ($100K–$5M). Applications are always open but approximately 90% of the initial funding pool was projected to be spent by June 2026.</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One of the only national programs directly supporting cleantech SMEs at early stage. Apply urgently — the pool is depleting. The NRF Net Zero Fund (concessional debt/equity, $3B+) is expected to open mid-2026 as a growth-stage complement.</w:t>
      </w:r>
    </w:p>
    <w:p>
      <w:pPr>
        <w:spacing w:before="40" w:after="60"/>
        <w:jc w:val="left"/>
      </w:pPr>
      <w:r>
        <w:rPr>
          <w:rFonts w:ascii="Calibri" w:hAnsi="Calibri"/>
          <w:b/>
          <w:i w:val="0"/>
          <w:color w:val="555555"/>
          <w:sz w:val="21"/>
          <w:u w:val="none"/>
        </w:rPr>
        <w:t xml:space="preserve">Signals to watch:  </w:t>
      </w:r>
      <w:r>
        <w:rPr>
          <w:rFonts w:ascii="Calibri" w:hAnsi="Calibri"/>
          <w:b w:val="0"/>
          <w:i w:val="0"/>
          <w:color w:val="2C2C2C"/>
          <w:sz w:val="21"/>
          <w:u w:val="none"/>
        </w:rPr>
        <w:t>NRF Net Zero Fund expected to open mid-2026 for larger growth-stage capital needs.</w:t>
      </w:r>
    </w:p>
    <w:p>
      <w:pPr>
        <w:spacing w:before="200" w:after="40"/>
        <w:jc w:val="left"/>
      </w:pPr>
      <w:r>
        <w:rPr>
          <w:rFonts w:ascii="Calibri" w:hAnsi="Calibri"/>
          <w:b/>
          <w:i w:val="0"/>
          <w:color w:val="2C2C2C"/>
          <w:sz w:val="22"/>
          <w:u w:val="none"/>
        </w:rPr>
        <w:t>Main Sequence Ventures — Fund III</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Main Sequence Ventures, the CSIRO-founded deeptech VC, completed the first close of its A$450M Fund III in 2025 with LPs including CSIRO, Hostplus, Australian Ethical Investment, Temasek, and the Grantham Foundation. Fund III focuses on fibres, food, decarbonisation, and advanced manufacturing. MSEQ leverages CSIRO's research network to identify and back scientists turning discovery-stage research into transformative businesses. Total AUM now A$1B.</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The most credible path to institutional equity for CSIRO-affiliated or research-backed climate and materials startups. MSEQ's CSIRO connection provides unique IP access, lab infrastructure, and strategic validation that no other Australian VC can replicate.</w:t>
      </w:r>
    </w:p>
    <w:p>
      <w:pPr>
        <w:spacing w:before="40" w:after="60"/>
        <w:jc w:val="left"/>
      </w:pPr>
      <w:r>
        <w:rPr>
          <w:rFonts w:ascii="Calibri" w:hAnsi="Calibri"/>
          <w:b/>
          <w:i w:val="0"/>
          <w:color w:val="555555"/>
          <w:sz w:val="21"/>
          <w:u w:val="none"/>
        </w:rPr>
        <w:t xml:space="preserve">Signals to watch:  </w:t>
      </w:r>
      <w:r>
        <w:rPr>
          <w:rFonts w:ascii="Calibri" w:hAnsi="Calibri"/>
          <w:b w:val="0"/>
          <w:i w:val="0"/>
          <w:color w:val="2C2C2C"/>
          <w:sz w:val="21"/>
          <w:u w:val="none"/>
        </w:rPr>
        <w:t>MSEQ is the largest LP in CSIRO's A$150M commitment through Australia's Economic Accelerator (AEA). Startups coming through AEA Ignite/Innovate have a natural pathway to MSEQ consideration.</w:t>
      </w:r>
    </w:p>
    <w:p>
      <w:pPr>
        <w:spacing w:before="200" w:after="40"/>
        <w:jc w:val="left"/>
      </w:pPr>
      <w:r>
        <w:rPr>
          <w:rFonts w:ascii="Calibri" w:hAnsi="Calibri"/>
          <w:b/>
          <w:i w:val="0"/>
          <w:color w:val="2C2C2C"/>
          <w:sz w:val="22"/>
          <w:u w:val="none"/>
        </w:rPr>
        <w:t>National Reconstruction Fund — Net Zero Fund</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The federal government's $5 billion Net Zero Fund within the NRF will provide highly concessional debt, equity, and guarantees to support industrial decarbonisation and scale-up of domestic low-emissions manufacturing. It targets large-scale facilities decarbonising operations and hard-to-abate sectors. Unlike the Industry Growth Program (which suits SMEs), this fund is designed for capital-intensive projects requiring tens to hundreds of millions of dollars. Full design has been finalised; implementation expected mid-2026.</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The most significant new source of concessional growth-stage finance for deep industrial decarbonisation in Australia's history. Climate-tech ventures in green metals, sustainable fuels, or large-scale manufacturing should begin relationship-building with NRFC now.</w:t>
      </w:r>
    </w:p>
    <w:p>
      <w:pPr>
        <w:spacing w:before="40" w:after="60"/>
        <w:jc w:val="left"/>
      </w:pPr>
      <w:r>
        <w:rPr>
          <w:rFonts w:ascii="Calibri" w:hAnsi="Calibri"/>
          <w:b/>
          <w:i w:val="0"/>
          <w:color w:val="555555"/>
          <w:sz w:val="21"/>
          <w:u w:val="none"/>
        </w:rPr>
        <w:t xml:space="preserve">Signals to watch:  </w:t>
      </w:r>
      <w:r>
        <w:rPr>
          <w:rFonts w:ascii="Calibri" w:hAnsi="Calibri"/>
          <w:b w:val="0"/>
          <w:i w:val="0"/>
          <w:color w:val="2C2C2C"/>
          <w:sz w:val="21"/>
          <w:u w:val="none"/>
        </w:rPr>
        <w:t>The NRFC general portfolio (NRF priority areas, commercial terms) is already open. The Net Zero sub-fund will layer on additional concessionality from mid-2026. Register interest at nrf.gov.au.</w:t>
      </w:r>
    </w:p>
    <w:p>
      <w:pPr>
        <w:spacing w:before="200" w:after="40"/>
        <w:jc w:val="left"/>
      </w:pPr>
      <w:r>
        <w:rPr>
          <w:rFonts w:ascii="Calibri" w:hAnsi="Calibri"/>
          <w:b/>
          <w:i w:val="0"/>
          <w:color w:val="2C2C2C"/>
          <w:sz w:val="22"/>
          <w:u w:val="none"/>
        </w:rPr>
        <w:t>R&amp;D Tax Incentive (R&amp;DTI)</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Australia's largest innovation incentive offers a 43.5% refundable tax offset on eligible R&amp;D expenditure for SMEs with turnover under $20M — effectively a cash rebate on R&amp;D costs. Eligible costs include wages for R&amp;D staff, contractor costs, and materials used in trials. Larger companies receive a non-refundable offset based on R&amp;D intensity. Register R&amp;D activities with DISR (via business.gov.au) before claiming in your tax return; registration must be lodged within 10 months of financial year end. The eligible expenditure cap was increased to $150M in recent amendments.</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For any climate-tech startup conducting genuine technical experimentation — hardware prototypes, novel software, new materials processes — this is the single most accessible cash injection available. It's not a competitive grant; all eligible companies receive the offset.</w:t>
      </w:r>
    </w:p>
    <w:p>
      <w:pPr>
        <w:spacing w:before="40" w:after="60"/>
        <w:jc w:val="left"/>
      </w:pPr>
      <w:r>
        <w:rPr>
          <w:rFonts w:ascii="Calibri" w:hAnsi="Calibri"/>
          <w:b/>
          <w:i w:val="0"/>
          <w:color w:val="555555"/>
          <w:sz w:val="21"/>
          <w:u w:val="none"/>
        </w:rPr>
        <w:t xml:space="preserve">Signals to watch:  </w:t>
      </w:r>
      <w:r>
        <w:rPr>
          <w:rFonts w:ascii="Calibri" w:hAnsi="Calibri"/>
          <w:b w:val="0"/>
          <w:i w:val="0"/>
          <w:color w:val="2C2C2C"/>
          <w:sz w:val="21"/>
          <w:u w:val="none"/>
        </w:rPr>
        <w:t>Consult an R&amp;D tax specialist before lodging — the ATO audits R&amp;D claims closely and requires contemporaneous records of technical uncertainty, hypothesis, experiments, and outcomes.</w:t>
      </w:r>
    </w:p>
    <w:p>
      <w:pPr>
        <w:spacing w:before="200" w:after="40"/>
        <w:jc w:val="left"/>
      </w:pPr>
      <w:r>
        <w:rPr>
          <w:rFonts w:ascii="Calibri" w:hAnsi="Calibri"/>
          <w:b/>
          <w:i w:val="0"/>
          <w:color w:val="2C2C2C"/>
          <w:sz w:val="22"/>
          <w:u w:val="none"/>
        </w:rPr>
        <w:t>Startmate Accelerator — Winter 2026</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Startmate runs Australia and New Zealand's most prominent 12-week accelerator twice per year (Summer: Feb–May; Winter: Aug–Nov). Climate-tech is a recognised priority sector and previous cohorts received CEFC Innovation Fund backing of $50K per company. Applications for the Winter 2026 cohort are expected to open June–July 2026. Startmate invests $120K for equity; valuation matched to prior rounds for founders who have already raised. Selection is mentor-driven across 3 stages over 3 weeks.</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The highest-profile generalist accelerator in Australia with a strong climate-tech track record. Strong network effects: the Startmate community of founders, operators, and investors is one of Australia's most active and supportive.</w:t>
      </w:r>
    </w:p>
    <w:p>
      <w:pPr>
        <w:spacing w:before="200" w:after="40"/>
        <w:jc w:val="left"/>
      </w:pPr>
      <w:r>
        <w:rPr>
          <w:rFonts w:ascii="Calibri" w:hAnsi="Calibri"/>
          <w:b/>
          <w:i w:val="0"/>
          <w:color w:val="2C2C2C"/>
          <w:sz w:val="22"/>
          <w:u w:val="none"/>
        </w:rPr>
        <w:t>State &amp; territory programs</w:t>
      </w:r>
    </w:p>
    <w:p>
      <w:pPr>
        <w:spacing w:before="200" w:after="40"/>
        <w:jc w:val="left"/>
      </w:pPr>
      <w:r>
        <w:rPr>
          <w:rFonts w:ascii="Calibri" w:hAnsi="Calibri"/>
          <w:b/>
          <w:i w:val="0"/>
          <w:color w:val="2C2C2C"/>
          <w:sz w:val="22"/>
          <w:u w:val="none"/>
        </w:rPr>
        <w:t>ACT: Energy Innovation Fund</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The ACT's Energy Innovation Fund (formerly the Renewable Energy Innovation Fund / REIF) has invested $12M since 2016 and was expanded with an additional $19M commitment. Three streams: Technology Demonstration (up to $10M over 5 years, quarterly rolling assessment for energy tech businesses), Policy Challenge ($3.75M for solutions to ACT energy transition policy barriers), and Innovation Ecosystem ($3.25M for accelerator and ecosystem programs). Applications via SmartyGrants.</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The ACT's primary grant channel for early-stage energy innovation, particularly valuable for startups seeking a smaller pilot-scale test market before national rollout. The quarterly rolling assessment means no fixed deadline pressure.</w:t>
      </w:r>
    </w:p>
    <w:p>
      <w:pPr>
        <w:spacing w:before="200" w:after="40"/>
        <w:jc w:val="left"/>
      </w:pPr>
      <w:r>
        <w:rPr>
          <w:rFonts w:ascii="Calibri" w:hAnsi="Calibri"/>
          <w:b/>
          <w:i w:val="0"/>
          <w:color w:val="2C2C2C"/>
          <w:sz w:val="22"/>
          <w:u w:val="none"/>
        </w:rPr>
        <w:t>NSW: I2N Cleantech Accelerator — University of Newcastle</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A 13-week cleantech-specific accelerator run by the University of Newcastle's I2N, backed by the federal Trailblazer for Recycling and Clean Energy (TRaCE) program. Accepts up to 12 teams per cohort across clean energy, recycling, water, transport, and supply chains. All founders receive IP and trademark support from Davies Collison Cave. The programme culminates in a Showcase event; selected companies enter an incubator phase through to June 2027. Open to any founder — no university affiliation required.</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One of the only sector-specific cleantech accelerators outside Sydney and Melbourne, with genuine depth in clean energy and recycling commercialisation. TRaCE funding gives it stronger resource backing than typical university accelerators.</w:t>
      </w:r>
    </w:p>
    <w:p>
      <w:pPr>
        <w:spacing w:before="40" w:after="60"/>
        <w:jc w:val="left"/>
      </w:pPr>
      <w:r>
        <w:rPr>
          <w:rFonts w:ascii="Calibri" w:hAnsi="Calibri"/>
          <w:b/>
          <w:i w:val="0"/>
          <w:color w:val="555555"/>
          <w:sz w:val="21"/>
          <w:u w:val="none"/>
        </w:rPr>
        <w:t xml:space="preserve">Signals to watch:  </w:t>
      </w:r>
      <w:r>
        <w:rPr>
          <w:rFonts w:ascii="Calibri" w:hAnsi="Calibri"/>
          <w:b w:val="0"/>
          <w:i w:val="0"/>
          <w:color w:val="2C2C2C"/>
          <w:sz w:val="21"/>
          <w:u w:val="none"/>
        </w:rPr>
        <w:t>Applications typically open April, with an info session in May and programme starting August. Monitor hunternewenergy.com.au for next cohort announcements.</w:t>
      </w:r>
    </w:p>
    <w:p>
      <w:pPr>
        <w:spacing w:before="200" w:after="40"/>
        <w:jc w:val="left"/>
      </w:pPr>
      <w:r>
        <w:rPr>
          <w:rFonts w:ascii="Calibri" w:hAnsi="Calibri"/>
          <w:b/>
          <w:i w:val="0"/>
          <w:color w:val="2C2C2C"/>
          <w:sz w:val="22"/>
          <w:u w:val="none"/>
        </w:rPr>
        <w:t>NSW Net Zero Manufacturing Initiative (NZMI)</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The NSW Government's $275 million Net Zero Manufacturing Initiative spans three streams: Clean Technology Innovation (CTI, $250K–$5M for R&amp;D and commercialisation), Low Carbon Product Manufacturing (LCPM, $50K–$20M for expanding manufacturing capacity), and Renewable Manufacturing (RM, $5M–$50M for renewable energy component production). Round 1 recipients have been announced; Round 2 details are being finalised. All streams require 50% co-contribution from non-NSW Government sources (cash only; in-kind excluded).</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The most substantial manufacturing-focused cleantech grant program in NSW. CTI's commercialisation stream ($250K–$5M) is directly relevant to startups with validated technology seeking production scale-up capital.</w:t>
      </w:r>
    </w:p>
    <w:p>
      <w:pPr>
        <w:spacing w:before="40" w:after="60"/>
        <w:jc w:val="left"/>
      </w:pPr>
      <w:r>
        <w:rPr>
          <w:rFonts w:ascii="Calibri" w:hAnsi="Calibri"/>
          <w:b/>
          <w:i w:val="0"/>
          <w:color w:val="555555"/>
          <w:sz w:val="21"/>
          <w:u w:val="none"/>
        </w:rPr>
        <w:t xml:space="preserve">Signals to watch:  </w:t>
      </w:r>
      <w:r>
        <w:rPr>
          <w:rFonts w:ascii="Calibri" w:hAnsi="Calibri"/>
          <w:b w:val="0"/>
          <w:i w:val="0"/>
          <w:color w:val="2C2C2C"/>
          <w:sz w:val="21"/>
          <w:u w:val="none"/>
        </w:rPr>
        <w:t>Register interest at energy.nsw.gov.au/NZMI for Round 2 notification. Round 2 construction-ready streams expected to carry larger pools than Round 1.</w:t>
      </w:r>
    </w:p>
    <w:p>
      <w:pPr>
        <w:spacing w:before="200" w:after="40"/>
        <w:jc w:val="left"/>
      </w:pPr>
      <w:r>
        <w:rPr>
          <w:rFonts w:ascii="Calibri" w:hAnsi="Calibri"/>
          <w:b/>
          <w:i w:val="0"/>
          <w:color w:val="2C2C2C"/>
          <w:sz w:val="22"/>
          <w:u w:val="none"/>
        </w:rPr>
        <w:t>NSW: UNSW Climate 10x Accelerator (TRaCE Trailblazer)</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A two-phase accelerator funded by the federal Trailblazer for Recycling and Clean Energy (TRaCE) program. Phase 1 (Pre-X, 4 weeks) accepts 15 teams; Phase 2 (Accelerator, 10 weeks) takes the strongest through to investment readiness. Open to any Australian startup — no UNSW affiliation required.</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Federal Trailblazer funding means this program has significant resources for participants compared to standard accelerators. Clean energy and recycling sectors particularly well served.</w:t>
      </w:r>
    </w:p>
    <w:p>
      <w:pPr>
        <w:spacing w:before="200" w:after="40"/>
        <w:jc w:val="left"/>
      </w:pPr>
      <w:r>
        <w:rPr>
          <w:rFonts w:ascii="Calibri" w:hAnsi="Calibri"/>
          <w:b/>
          <w:i w:val="0"/>
          <w:color w:val="2C2C2C"/>
          <w:sz w:val="22"/>
          <w:u w:val="none"/>
        </w:rPr>
        <w:t>QLD: Advance Queensland — Ignite Ideas Fund</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Provides up to $200,000 to Queensland-based startups at MVP to early commercialisation stage. Cleantech is an eligible priority sector. The current round is closed; Round 13 is expected to open in 2026. Pre-MVP ventures should also watch the Ignite Spark program ($50K–$75K for concept/prototype stage). 20% matched cash contribution required (10% for Indigenous businesses or regional applicants).</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The primary non-dilutive commercialisation grant for Queensland startups. Monitor advance.qld.gov.au for Round 13 opening dates.</w:t>
      </w:r>
    </w:p>
    <w:p>
      <w:pPr>
        <w:spacing w:before="200" w:after="40"/>
        <w:jc w:val="left"/>
      </w:pPr>
      <w:r>
        <w:rPr>
          <w:rFonts w:ascii="Calibri" w:hAnsi="Calibri"/>
          <w:b/>
          <w:i w:val="0"/>
          <w:color w:val="2C2C2C"/>
          <w:sz w:val="22"/>
          <w:u w:val="none"/>
        </w:rPr>
        <w:t>SA: Green Industries SA — Circular Economy Grants</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Two grant streams available to South Australian businesses, councils, and research institutes. Business &amp; Market Development grants (up to $100,000) support circular economy business development. Circular Infrastructure grants ($200,000–$2M, 50% co-contribution) fund recycling, resource recovery, and materials processing infrastructure. Check GISA's website for 2026 round opening dates.</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SA's primary cleantech/circular economy grant channel. Businesses in materials, waste-to-energy, and recycling sectors should register their interest with GISA directly.</w:t>
      </w:r>
    </w:p>
    <w:p>
      <w:pPr>
        <w:spacing w:before="200" w:after="40"/>
        <w:jc w:val="left"/>
      </w:pPr>
      <w:r>
        <w:rPr>
          <w:rFonts w:ascii="Calibri" w:hAnsi="Calibri"/>
          <w:b/>
          <w:i w:val="0"/>
          <w:color w:val="2C2C2C"/>
          <w:sz w:val="22"/>
          <w:u w:val="none"/>
        </w:rPr>
        <w:t>TAS: ReCFIT Climate Change Business Innovation Grants</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Tasmanian businesses with $500K–$55M annual turnover can access $25,000–$100,000 for climate action and low-emissions technology projects ($550,000 total pool per round; 30% cash co-contribution required). The previous round closed November 2025; outcomes and the next round opening are expected in early to mid-2026.</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Tasmania's primary cleantech SME grant. Relatively small pool — early applications are advantaged. Monitor recfit.tas.gov.au for the 2026 round.</w:t>
      </w:r>
    </w:p>
    <w:p>
      <w:pPr>
        <w:spacing w:before="200" w:after="40"/>
        <w:jc w:val="left"/>
      </w:pPr>
      <w:r>
        <w:rPr>
          <w:rFonts w:ascii="Calibri" w:hAnsi="Calibri"/>
          <w:b/>
          <w:i w:val="0"/>
          <w:color w:val="2C2C2C"/>
          <w:sz w:val="22"/>
          <w:u w:val="none"/>
        </w:rPr>
        <w:t>VIC: Breakthrough Victoria — Clean Economy Fund</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Breakthrough Victoria has committed $75M across five VC funds including Virescent Ventures Fund II. All BV-backed funds must deploy at least 25% of capital into Victorian companies. Startups apply directly to the VC funds (Virescent Ventures, Boson Ventures, etc.), not to BV directly. Clean economy is a priority sector.</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Victorian cleantech founders should prioritise Virescent Ventures and Boson Ventures as their first equity contacts — BV's co-investment mandate increases deal size and credibility.</w:t>
      </w:r>
    </w:p>
    <w:p>
      <w:pPr>
        <w:spacing w:before="200" w:after="40"/>
        <w:jc w:val="left"/>
      </w:pPr>
      <w:r>
        <w:rPr>
          <w:rFonts w:ascii="Calibri" w:hAnsi="Calibri"/>
          <w:b/>
          <w:i w:val="0"/>
          <w:color w:val="2C2C2C"/>
          <w:sz w:val="22"/>
          <w:u w:val="none"/>
        </w:rPr>
        <w:t>VIC: Circular Economy Recycling Modernisation Fund — Round 6</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Sustainability Victoria's Round 6 opens $6 million for capital investment in recycling infrastructure, remanufacturing, and resource recovery. For-profit applicants must co-contribute $2 for every $1 of SV funding; local government and not-for-profits match 1:1. Applications submitted via SmartyGrants. Note: Sustainability Victoria is scheduled to be abolished in 2026 following the Silver Review — this may be one of its final grant rounds.</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A critical window for Victorian cleantech businesses in the circular economy space, especially given SV's likely abolition. The 1:2 co-contribution requirement means applicants need substantial internal capital or co-investors lined up before applying.</w:t>
      </w:r>
    </w:p>
    <w:p>
      <w:pPr>
        <w:spacing w:before="40" w:after="60"/>
        <w:jc w:val="left"/>
      </w:pPr>
      <w:r>
        <w:rPr>
          <w:rFonts w:ascii="Calibri" w:hAnsi="Calibri"/>
          <w:b/>
          <w:i w:val="0"/>
          <w:color w:val="555555"/>
          <w:sz w:val="21"/>
          <w:u w:val="none"/>
        </w:rPr>
        <w:t xml:space="preserve">Signals to watch:  </w:t>
      </w:r>
      <w:r>
        <w:rPr>
          <w:rFonts w:ascii="Calibri" w:hAnsi="Calibri"/>
          <w:b w:val="0"/>
          <w:i w:val="0"/>
          <w:color w:val="2C2C2C"/>
          <w:sz w:val="21"/>
          <w:u w:val="none"/>
        </w:rPr>
        <w:t>With SV's abolition flagged for 2026, monitor the Victorian Government for announcements on which agency will absorb the circular economy grant function post-SV.</w:t>
      </w:r>
    </w:p>
    <w:p>
      <w:pPr>
        <w:spacing w:before="200" w:after="40"/>
        <w:jc w:val="left"/>
      </w:pPr>
      <w:r>
        <w:rPr>
          <w:rFonts w:ascii="Calibri" w:hAnsi="Calibri"/>
          <w:b/>
          <w:i w:val="0"/>
          <w:color w:val="2C2C2C"/>
          <w:sz w:val="22"/>
          <w:u w:val="none"/>
        </w:rPr>
        <w:t>WA: Founders Factory Nature Tech Accelerator</w:t>
      </w:r>
    </w:p>
    <w:p>
      <w:pPr>
        <w:spacing w:before="40" w:after="60"/>
        <w:jc w:val="left"/>
      </w:pPr>
      <w:r>
        <w:rPr>
          <w:rFonts w:ascii="Calibri" w:hAnsi="Calibri"/>
          <w:b/>
          <w:i w:val="0"/>
          <w:color w:val="2C2C2C"/>
          <w:sz w:val="21"/>
          <w:u w:val="none"/>
        </w:rPr>
        <w:t xml:space="preserve">Summary:  </w:t>
      </w:r>
      <w:r>
        <w:rPr>
          <w:rFonts w:ascii="Calibri" w:hAnsi="Calibri"/>
          <w:b w:val="0"/>
          <w:i w:val="0"/>
          <w:color w:val="2C2C2C"/>
          <w:sz w:val="21"/>
          <w:u w:val="none"/>
        </w:rPr>
        <w:t>The WA Government has committed $7.2M over 3 years to Founders Factory's dedicated Nature Tech Accelerator. Each accepted startup receives $50,000 plus 4 months of product development, commercialisation, and fundraising support from the Founders Factory team. Eligible sectors: environmental technologies, nature-based solutions, cleantech, biofuels. The February 2026 cohort is underway; next intake dates are to be confirmed.</w:t>
      </w:r>
    </w:p>
    <w:p>
      <w:pPr>
        <w:spacing w:before="40" w:after="60"/>
        <w:jc w:val="left"/>
      </w:pPr>
      <w:r>
        <w:rPr>
          <w:rFonts w:ascii="Calibri" w:hAnsi="Calibri"/>
          <w:b/>
          <w:i w:val="0"/>
          <w:color w:val="E08A00"/>
          <w:sz w:val="21"/>
          <w:u w:val="none"/>
        </w:rPr>
        <w:t xml:space="preserve">Why it matters for ARK:  </w:t>
      </w:r>
      <w:r>
        <w:rPr>
          <w:rFonts w:ascii="Calibri" w:hAnsi="Calibri"/>
          <w:b w:val="0"/>
          <w:i w:val="0"/>
          <w:color w:val="2C2C2C"/>
          <w:sz w:val="21"/>
          <w:u w:val="none"/>
        </w:rPr>
        <w:t>Western Australia's most direct pathway for early-stage environmental-tech founders. The $7.2M multi-year commitment signals ongoing cohort delivery — monitor foundersfactory.com for next intake.</w:t>
      </w:r>
    </w:p>
    <w:p>
      <w:pPr>
        <w:spacing w:before="360" w:after="0"/>
        <w:jc w:val="left"/>
      </w:pPr>
    </w:p>
    <w:p>
      <w:pPr>
        <w:spacing w:before="20" w:after="20"/>
        <w:pBdr>
          <w:bottom w:val="single" w:sz="6" w:space="1" w:color="AAAAAA"/>
        </w:pBdr>
      </w:pPr>
    </w:p>
    <w:p>
      <w:pPr>
        <w:spacing w:before="80" w:after="40"/>
        <w:jc w:val="left"/>
      </w:pPr>
      <w:r>
        <w:rPr>
          <w:rFonts w:ascii="Calibri" w:hAnsi="Calibri"/>
          <w:b w:val="0"/>
          <w:i/>
          <w:color w:val="888888"/>
          <w:sz w:val="17"/>
          <w:u w:val="none"/>
        </w:rPr>
        <w:t>© GG Advisory  |  gg-advisory.org  |  This brief is prepared exclusively for ARK Capture Solutions. Confidential — not for redistribution.</w:t>
      </w:r>
    </w:p>
    <w:p>
      <w:pPr>
        <w:spacing w:before="0" w:after="0"/>
        <w:jc w:val="left"/>
      </w:pPr>
      <w:r>
        <w:rPr>
          <w:rFonts w:ascii="Calibri" w:hAnsi="Calibri"/>
          <w:b w:val="0"/>
          <w:i w:val="0"/>
          <w:color w:val="888888"/>
          <w:sz w:val="17"/>
          <w:u w:val="none"/>
        </w:rPr>
        <w:t>Generated: 27 March 2026</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2C2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