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0D2D4A"/>
          <w:sz w:val="44"/>
          <w:u w:val="none"/>
        </w:rPr>
        <w:t>ARK Capture Solutions</w:t>
      </w:r>
    </w:p>
    <w:p>
      <w:pPr>
        <w:spacing w:before="0" w:after="40"/>
      </w:pPr>
      <w:r>
        <w:rPr>
          <w:rFonts w:ascii="Calibri" w:hAnsi="Calibri"/>
          <w:b w:val="0"/>
          <w:i/>
          <w:color w:val="1B7A6B"/>
          <w:sz w:val="22"/>
          <w:u w:val="none"/>
        </w:rPr>
        <w:t>Monthly Intelligence Brief — Australia &amp; APAC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55555"/>
          <w:sz w:val="18"/>
          <w:u w:val="none"/>
        </w:rPr>
        <w:t>Prepared by GG Advisory  |  June 2026  |  Confidential</w:t>
      </w:r>
    </w:p>
    <w:p>
      <w:pPr>
        <w:spacing w:before="20" w:after="20"/>
        <w:pBdr>
          <w:bottom w:val="single" w:sz="20" w:space="1" w:color="1B7A6B"/>
        </w:pBdr>
      </w:pPr>
    </w:p>
    <w:p>
      <w:pPr>
        <w:spacing w:before="160" w:after="40"/>
        <w:jc w:val="center"/>
      </w:pPr>
      <w:r>
        <w:rPr>
          <w:rFonts w:ascii="Calibri" w:hAnsi="Calibri"/>
          <w:b/>
          <w:i w:val="0"/>
          <w:color w:val="0D2D4A"/>
          <w:sz w:val="32"/>
          <w:u w:val="none"/>
        </w:rPr>
        <w:t>ARK Intelligence Brief — June 2026</w:t>
      </w:r>
    </w:p>
    <w:p>
      <w:pPr>
        <w:spacing w:before="20" w:after="20"/>
        <w:pBdr>
          <w:bottom w:val="single" w:sz="8" w:space="1" w:color="1B7A6B"/>
        </w:pBdr>
      </w:pP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0D2D4A"/>
          <w:sz w:val="26"/>
          <w:u w:val="none"/>
        </w:rPr>
        <w:t>Executive Summary</w:t>
      </w:r>
    </w:p>
    <w:p>
      <w:pPr>
        <w:spacing w:before="40" w:after="80"/>
        <w:jc w:val="left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ARK Capture Solutions (Belgium) has developed a fully-electric, post-combustion carbon capture system targeting low-concentration flue gas from industrial sources including waste-to-energy, cement, biomass co-generation, and gas-fired plants. ARK states the technology operates without chemical solvents, with modular design and autonomous operation, and claims approximately 50% lower capture costs versus conventional amine scrubbing at low CO₂ concentrations (company-stated; no independent peer-reviewed validation published to date).</w:t>
      </w:r>
    </w:p>
    <w:p>
      <w:pPr>
        <w:spacing w:before="40" w:after="80"/>
        <w:jc w:val="left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 50 t/year pilot plant recently commenced operation in Belgium under the €5.6M CO₂ Disrupt Project (partners: Aperam, Industeel, Cinergie). ARK's strategic entry into Australia is supported by GG Advisory and targets the country's growing industrial decarbonisation mandate, active grant programmes, and a small number of high-fit early adopters in Western Australia and New South Wales.</w:t>
      </w:r>
    </w:p>
    <w:p>
      <w:pPr>
        <w:spacing w:before="120" w:after="40"/>
        <w:jc w:val="left"/>
      </w:pPr>
      <w:r>
        <w:rPr>
          <w:rFonts w:ascii="Calibri" w:hAnsi="Calibri"/>
          <w:b/>
          <w:i w:val="0"/>
          <w:color w:val="1B7A6B"/>
          <w:sz w:val="21"/>
          <w:u w:val="none"/>
        </w:rPr>
        <w:t>Key Developments This Month</w:t>
      </w:r>
    </w:p>
    <w:p>
      <w:pPr>
        <w:spacing w:before="80" w:after="80"/>
        <w:ind w:left="216" w:right="216"/>
        <w:shd w:val="clear" w:color="auto" w:fill="D6EDE9"/>
      </w:pPr>
      <w:r>
        <w:rPr>
          <w:rFonts w:ascii="Calibri" w:hAnsi="Calibri"/>
          <w:b w:val="0"/>
          <w:i/>
          <w:color w:val="2C2C2C"/>
          <w:sz w:val="20"/>
          <w:u w:val="none"/>
        </w:rPr>
        <w:t>— No highlights available this period. —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  <w:jc w:val="left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  <w:u w:val="none"/>
        </w:rPr>
        <w:t>GRANTS &amp; FUNDING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Market Background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Carbon Capture Technologies Programme (CCTP) — Round 2</w:t>
      </w:r>
      <w:r>
        <w:t xml:space="preserve">  </w:t>
      </w:r>
      <w:r>
        <w:rPr>
          <w:rFonts w:ascii="Calibri" w:hAnsi="Calibri"/>
          <w:b/>
          <w:sz w:val="16"/>
          <w:shd w:val="clear" w:color="auto" w:fill="C0392B"/>
          <w:color w:val="FFFFFF"/>
        </w:rPr>
        <w:t xml:space="preserve">  TIME-CRITICAL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Administered by DCCEEW / business.gov.au; open now, closes 5:00 pm AEST Wednesday 6 May 2026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Total pool: AUD $32.6 million; grants from AUD $1M to AUD $10M per project; minimum eligible project expenditure AUD $2M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Two-stage process: Expression of Interest (Stage 1) → invited full application (Stage 2)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Eligible lead applicants: any entity incorporated in Australia with an ABN; foreign technology providers such as ARK must partner with an eligible Australian lead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Partnering with CSIRO Energy is the recommended pathway — provides ABN eligibility, independent credibility and technology validation in a single step (GG Advisory recommendation; not a programme rule)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Projects must be located in Australia, complete by 31 March 2031, and must not consist solely of a feasibility or engineering study; prior Round 1 recipients are ineligible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Strategic fit for ARK: HIGH — programme explicitly targets novel and emerging carbon management technologies for hard-to-abate industrial emitters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ARENA — Industrial Transformation Stream (ITS) Round 3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OPEN | ROLLING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Open and ongoing since September 2025; AUD $180M available; no hard deadline — applications assessed on rolling basis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Supports feasibility studies, FEED, trials, demonstrations and full deployment for industrial decarbonisation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Complementary to CCTP: can fund project-development stages before or alongside a CCTP grant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Emissions Reduction Fund / ACCU Scheme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REVENUE MECHANISM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Verified carbon abatement from eligible CCS projects can generate Australian Carbon Credit Units (ACCUs)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Spot price Q1 2026: approximately AUD $30–42/t (elevated ahead of March Safeguard compliance deadline); live prices paywalled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Long-term outlook: flat at AUD $30–35/t to at least 2028, projected to rise toward AUD $70/t by 2035 (EY Net Zero Centre, January 2026)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ACCU revenue is conditional on project structure, CER method compliance and grant funding arrangements — treat as potential upside only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Clean Energy Finance Corporation (CEFC)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CO-INVESTMENT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Provides debt and equity co-investment for clean energy projects; relevant at construction/deployment stage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Has co-invested alongside ARENA in industrial decarbonisation (e.g. AUD $57.5M subordinated debt into East Rockingham WtE)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R&amp;D Tax Incentive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TAX INCENTIVE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Companies with aggregated turnover below AUD $20M: refundable offset at corporate tax rate + 18.5% premium (= 43.5% at the standard 25% rate); excess refunded as cash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Companies with aggregated turnover AUD $20M or above: non-refundable offset at corporate tax rate + 8.5% (0–2% R&amp;D intensity) or + 16.5% (above 2% R&amp;D intensity)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Relevant for ARK once an Australian entity is established; registration deadline within 10 months of income year end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Updates This Month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new items identified this period.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Changes Since Last Issue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changes detected versus the previous issue.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  <w:jc w:val="left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  <w:u w:val="none"/>
        </w:rPr>
        <w:t>MARKET &amp; POLICY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Market Background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Regulatory Driver — Safeguard Mechanism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REGULATORY DRIVER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Applies to 219 facilities (confirmed 2023-24; 2024-25 final data due to CER by 15 April 2026, current estimate ~220) emitting more than 100,000 tCO₂e/year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Covers mining, manufacturing, domestic transport, oil, gas and waste sectors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Default baselines decline at 4.9% per year through to 30 June 2030; trade-exposed baseline-adjusted (TEBA) facilities may qualify for a reduced minimum decline rate of 1–2%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Facilities in excess must surrender ACCUs or Safeguard Mechanism Credits (SMCs) by 31 March each year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The scheme's aggregate trajectory requires that net emissions from all Safeguard facilities do not exceed 100 MtCO₂e in 2029-30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 mandatory government review of Safeguard policy settings is scheduled for 2026-27, covering post-2030 trajectory, ACCU/SMC limits, use of international offsets, and calibration to Australia's updated NDC — outcome could materially affect compliance costs and the value of on-site capture investments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National Climate Targets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POLICY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Legislated 2030 target: 43% reduction below 2005 levels; net zero by 2050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Updated NDC submitted to the UN in September 2025: 62–70% below 2005 levels by 2035 — substantially increases pressure on hard-to-abate industrial sectors beyond 2030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Scale of CCS required: the 2023 Net Zero Australia study (cited in the government's Future Gas Strategy, May 2024) projects that Australia will need to achieve geological sequestration of approximately 150 Mtpa CO₂ by 2040 in most net-zero scenarios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Electricity Prices — Relevance to ARK's Fully-Electric Model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MARKET DRIVER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NEM wholesale average fell to approximately AUD $50/MWh in Q4 2025 (down ~44% year-on-year), driven by record renewable penetration exceeding 50% of NEM demand for the first time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Negative and near-zero wholesale price periods are increasing in all mainland NEM regions: AEMO recorded negative prices in 48.4% of intervals in South Australia and 43.1% in Victoria in Q4 2025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ARK's flexible electric system can operate preferentially during low/negative-price periods; amine scrubbing cannot (requires continuous steam)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Delivered industrial electricity cost varies significantly by state and contract structure — site-specific energy modelling is required for any client proposal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Key Emitting Sectors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OPPORTUNITY SECTORS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Waste-to-energy: combustion flue gas CO₂ typically 8–12%; Kwinana (Perth, WA) is Australia's only operational WtE facility (opened November 2025)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Cement and lime: ~4.7 Mt CO₂/year from Australian integrated cement production (2020-21); of this ~60% is process/calcination CO₂ (LEILAC domain), ~28% is thermal combustion flue gas at 14–25% CO₂ (ARK's domain), ~12% is indirect electricity emissions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Biomass / sugar co-generation: flue gas CO₂ typically 10–14%; Queensland bagasse mills are medium-term targets after an Australian ARK reference project is established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Gas-fired power: flue gas CO₂ typically 4–9% — lowest concentration, most challenging economic case; longer-term opportunity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CCS Storage Infrastructure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INFRASTRUCTURE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Gorgon CCS (WA, Chevron): Australia's first commercial CCS project; stored more than 11 Mt CO₂ to July 2025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Moomba CCS (SA, Santos): operational since October 2024; storing approximately 1.7 Mtpa CO₂ in depleted Cooper Basin gas fields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South West Hub (WA): proposed regional CO₂ storage hub in the Perth Basin; relevant to Kwinana/Adbri/ARK cluster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10 offshore storage acreage areas released in 2023 across Bonaparte, Browse, Northern Carnarvon, Perth, Otway, Bass and Gippsland basins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Updates This Month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new items identified this period.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Changes Since Last Issue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changes detected versus the previous issue.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  <w:jc w:val="left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  <w:u w:val="none"/>
        </w:rPr>
        <w:t>COMPETITORS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Market Background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Amine / MEA Post-Combustion Capture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INCUMBENT TECH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Mature technology; capture efficiency up to 95% but requires continuous steam for solvent regeneration — cost and energy penalty increases sharply at lower CO₂ concentrations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ARK states capture cost at low concentrations is €90–156/tonne CO₂ for amine scrubbing (company-stated benchmark; no independent Australian cost study found)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Cannot exploit low/negative electricity price periods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Not commercially deployed for WtE or biomass flue gas in Australia as of Q1 2026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Calix / LEILAC — Complementary, Not Competing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COMPLEMENTARY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LEILAC uses indirect heating to capture unavoidable process/calcination CO₂ (~60% of integrated cement plant emissions) — it does not address combustion flue gas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ARK addresses the thermal combustion flue gas portion (~28% of cement plant emissions, 14–25% CO₂ concentration) which LEILAC does not capture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 combined LEILAC + ARK proposal for a cement or lime plant covers whole-plant decarbonisation — the strongest possible CCTP Round 2 application structure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Current Australian status: AUD $15M CCTP Round 1 grant for Project ZETA (lime CCU demonstration, South Australia); pre-FEED completed 26 September 2025; now at FEED stage, on budget and on schedule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Heidelberg Materials (Cement Australia's parent) holds an indefinite global LEILAC licence; LEILAC-2 commissioning in Germany (Ennigerloh) targeted mid-2026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Membrane Separation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EMERGING TECH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Emerging technology; not commercially deployed at industrial scale for flue gas streams below ~10% CO₂ in Australia as of Q1 2026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Cryogenic Separation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EMERGING TECH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Fully electric process; suited to contaminated flue streams in principle; very high electricity consumption per tonne CO₂; not commercially deployed at WtE or biomass scale in Australia as of Q1 2026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CSIRO — Amine-Based PCC Research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ACTIVE R&amp;D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CSIRO has developed proprietary cyclic amine absorbents with claimed lower energy requirements than conventional MEA; partnership with US-based ION Clean Energy for commercialisation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Active R&amp;D programme targeting post-combustion capture across concentration ranges; no commercial deployment in Australia identified as of Q1 2026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Also relevant as a potential CCTP Round 2 lead partner for ARK (CSIRO is an ABN-holding eligible lead applicant)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Competitive Position Summary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SUMMARY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No clear public evidence of a competing commercial technology deployed for low-concentration flue gas capture at WtE, biomass or cement combustion flue gas scale in Australia as of Q1 2026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ARK's claim of cost leadership in the 4–15% CO₂ range is directionally credible based on publicly available information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Publication of independent pilot performance data from the Belgian 50 t/yr plant would be the single most important step toward commercial credibility with Australian buyers and grant panels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Updates This Month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new items identified this period.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Changes Since Last Issue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changes detected versus the previous issue.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  <w:jc w:val="left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  <w:u w:val="none"/>
        </w:rPr>
        <w:t>PARTNERS &amp; BUYERS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Market Background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Kwinana Energy Recovery — Perth, WA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PRIORITY 1 | WtE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Owner: ACCIONA (100% since March 2024); day-to-day operations and maintenance: Veolia (long-term O&amp;M services contract)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Capacity: 460,000 tonnes/year non-recyclable waste; 38 MW baseload electricity output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Officially opened 14 November 2025; processed 90,000+ tonnes in first three months of operation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Flue gas CO₂ concentration: approximately 8–12% — directly within ARK's target range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Australia's only operational WtE facility; ACCC (July 2025): no other WtE facility likely to become operational in WA within the next decade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Highest near-term priority: ACCIONA has strong incentive to lead on decarbonisation at its flagship asset; Veolia operates 65 similar facilities globally and has direct interest in green credentials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East Rockingham Resource Recovery Facility — Perth, WA</w:t>
      </w:r>
      <w:r>
        <w:t xml:space="preserve">  </w:t>
      </w:r>
      <w:r>
        <w:rPr>
          <w:rFonts w:ascii="Calibri" w:hAnsi="Calibri"/>
          <w:b/>
          <w:sz w:val="16"/>
          <w:shd w:val="clear" w:color="auto" w:fill="E67E22"/>
          <w:color w:val="FFFFFF"/>
        </w:rPr>
        <w:t xml:space="preserve">  WATCHLIST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Approved capacity: 300,000 t/year; 29 MW; AUD $511M project (AUD $18M ARENA grant, AUD $57.5M CEFC debt)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Currently in voluntary administration and receivership; ACCIONA's proposed acquisition was withdrawn on 13 October 2025 following ACCC competition concerns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As of Q1 2026, no new buyer or resolution has been publicly announced; operational timeline and ownership entirely uncertain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GG Advisory recommendation: do not engage until administration and ownership are fully resolved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Boral — Berrima Cement Works, NSW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PRIORITY 1 | CEMENT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Supplies approximately 40% of NSW and ACT cement (Boral, December 2024); combustion flue gas at approximately 14–25% CO₂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Current CCS activity: a recarbonation-based CCS pilot plant operational at Berrima (different and complementary mechanism to ARK, not competing)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AUD $25.45M NSW State Government funding secured for alternative fuels transition (coal → alternative fuels, targeting 60% non-coal kiln energy within 3 years); smaller federal fund supports the recarbonation pilot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Note: an earlier AUD $30M federal Calix/LEILAC project at Berrima was under the CCUS Hubs and Technologies Programme, cancelled by the federal government in October 2022; that project did not proceed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CEO confirmed CCS is part of the company's long-term net-zero-by-2050 strategy alongside near-term fuel switching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GG Advisory recommendation: approach after ARK has established a Calix partnership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Adbri / Cockburn Cement — Kwinana, WA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PRIORITY 1 | CEMENT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Majority-owned by CRH plc (acquisition completed 2024; Adbri delisted from ASX); Barro Group retains minority stake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Co-located with Kwinana Energy Recovery facility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Active LEILAC lime partnership: Calix awarded AUD $11M federal grant for a LEILAC low-emissions lime demonstration at Kwinana with Adbri (calcination CO₂); ARK would address combustion flue gas CO₂ remaining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Kwinana Upgrade Project: AUD $199M investment consolidating two cement sites; ~20% CO₂ reduction versus legacy operations; combustion emissions remain unaddressed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Cement Australia — Gladstone, QLD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PRIORITY 2 | CEMENT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Joint venture of Holcim and Heidelberg Materials (Heidelberg holds indefinite global LEILAC licence)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Gladstone plant: MoU with Mitsubishi Gas Chemical Company (October 2022) to study green methanol production using captured CO₂ and green hydrogen (Carbopath™); Phase 1 — targeted AUD $150M first-stage plant, ~100,000 t/yr methanol — has a targeted Phase 1 commercial operation start of mid-2028 per Queensland Government; no Final Investment Decision confirmed publicly; treat as MoU/feasibility stage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ACCC approved Cement Australia's acquisition of BGC Cementitious in September 2025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GG Advisory recommendation: medium-term; combustion flue gas remains a potential ARK opportunity regardless of Gladstone methanol project outcome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CSIRO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GRANT PARTNER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National science agency; ABN holder; eligible CCTP Round 2 lead applicant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Provides independent technology validation — critical for ARK's credibility with Australian buyers and grant panels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Recommended first contact: CSIRO Energy group (Newcastle)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Calix Limited (ASX: CXL)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STRATEGIC PARTNER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Australian-listed company; Project ZETA pre-FEED completed 26 September 2025; now at FEED stage; AUD $15M CCTP Round 1 grant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Natural strategic partner: combined Calix (calcination CO₂) + ARK (combustion CO₂) covers whole-plant cement/lime decarbonisation — strongest possible CCTP Round 2 application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HILT CRC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GRANT PARTNER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Heavy Industry Low-Carbon Transition CRC; members include Adbri, Calix, University of Adelaide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Provides industry network access and potential co-applicant status for grant applications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Wilmar Sugar / MSF Sugar — Queensland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PRIORITY 3 | BIOMASS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Operate bagasse co-generation mills producing approximately 10–14% CO₂ flue gas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GG Advisory recommendation: viable ARK target after an Australian reference project is established — do not engage before ARK pilot results available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Updates This Month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new items identified this period.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Changes Since Last Issue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changes detected versus the previous issue.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200" w:after="0"/>
        <w:jc w:val="left"/>
      </w:pPr>
    </w:p>
    <w:p>
      <w:pPr>
        <w:spacing w:before="20" w:after="20"/>
        <w:pBdr>
          <w:bottom w:val="single" w:sz="6" w:space="1" w:color="AAAAAA"/>
        </w:pBdr>
      </w:pPr>
    </w:p>
    <w:p>
      <w:pPr>
        <w:spacing w:before="80" w:after="40"/>
        <w:jc w:val="left"/>
      </w:pPr>
      <w:r>
        <w:rPr>
          <w:rFonts w:ascii="Calibri" w:hAnsi="Calibri"/>
          <w:b w:val="0"/>
          <w:i/>
          <w:color w:val="888888"/>
          <w:sz w:val="17"/>
          <w:u w:val="none"/>
        </w:rPr>
        <w:t>© GG Advisory  |  gg-advisory.org  |  This brief is prepared exclusively for ARK Capture Solutions. Confidential — not for redistribution.</w:t>
      </w:r>
    </w:p>
    <w:p>
      <w:pPr>
        <w:spacing w:before="0" w:after="0"/>
        <w:jc w:val="left"/>
      </w:pPr>
      <w:r>
        <w:rPr>
          <w:rFonts w:ascii="Calibri" w:hAnsi="Calibri"/>
          <w:b w:val="0"/>
          <w:i w:val="0"/>
          <w:color w:val="888888"/>
          <w:sz w:val="17"/>
          <w:u w:val="none"/>
        </w:rPr>
        <w:t>Generated: 02 July 2026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