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D2D4A"/>
          <w:sz w:val="44"/>
          <w:u w:val="none"/>
        </w:rPr>
        <w:t>ARK Capture Solutions</w:t>
      </w:r>
    </w:p>
    <w:p>
      <w:pPr>
        <w:spacing w:before="0" w:after="40"/>
      </w:pPr>
      <w:r>
        <w:rPr>
          <w:rFonts w:ascii="Calibri" w:hAnsi="Calibri"/>
          <w:b w:val="0"/>
          <w:i/>
          <w:color w:val="1B7A6B"/>
          <w:sz w:val="22"/>
          <w:u w:val="none"/>
        </w:rPr>
        <w:t>Monthly Intelligence Brief — Australia &amp; APAC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18"/>
          <w:u w:val="none"/>
        </w:rPr>
        <w:t>Prepared by GG Advisory  |  July 2026  |  Confidential</w:t>
      </w:r>
    </w:p>
    <w:p>
      <w:pPr>
        <w:spacing w:before="20" w:after="20"/>
        <w:pBdr>
          <w:bottom w:val="single" w:sz="20" w:space="1" w:color="1B7A6B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0D2D4A"/>
          <w:sz w:val="32"/>
          <w:u w:val="none"/>
        </w:rPr>
        <w:t>ARK Intelligence Brief — July 2026</w:t>
      </w:r>
    </w:p>
    <w:p>
      <w:pPr>
        <w:spacing w:before="20" w:after="20"/>
        <w:pBdr>
          <w:bottom w:val="single" w:sz="8" w:space="1" w:color="1B7A6B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0D2D4A"/>
          <w:sz w:val="26"/>
          <w:u w:val="none"/>
        </w:rPr>
        <w:t>Executive Summary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Capture Solutions (Belgium) has developed a fully-electric, post-combustion carbon capture system targeting low-concentration flue gas from industrial sources including waste-to-energy, cement, biomass co-generation, and gas-fired plants. ARK states the technology operates without chemical solvents, with modular design and autonomous operation, and claims approximately 50% lower capture costs versus conventional amine scrubbing at low CO₂ concentrations (company-stated; no independent peer-reviewed validation published to date).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50 t/year pilot plant recently commenced operation in Belgium under the €5.6M CO₂ Disrupt Project (partners: Aperam, Industeel, Cinergie). ARK's strategic entry into Australia is supported by GG Advisory and targets the country's growing industrial decarbonisation mandate, active grant programmes, and a small number of high-fit early adopters in Western Australia and New South Wales.</w:t>
      </w:r>
    </w:p>
    <w:p>
      <w:pPr>
        <w:spacing w:before="120" w:after="40"/>
        <w:jc w:val="left"/>
      </w:pPr>
      <w:r>
        <w:rPr>
          <w:rFonts w:ascii="Calibri" w:hAnsi="Calibri"/>
          <w:b/>
          <w:i w:val="0"/>
          <w:color w:val="1B7A6B"/>
          <w:sz w:val="21"/>
          <w:u w:val="none"/>
        </w:rPr>
        <w:t>Key Developments This Month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No highlights available this period.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GRANTS &amp; FUNDING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Carbon Capture Technologies Programme (CCTP) — Round 2</w:t>
      </w:r>
      <w:r>
        <w:t xml:space="preserve">  </w:t>
      </w:r>
      <w:r>
        <w:rPr>
          <w:rFonts w:ascii="Calibri" w:hAnsi="Calibri"/>
          <w:b/>
          <w:sz w:val="16"/>
          <w:shd w:val="clear" w:color="auto" w:fill="C0392B"/>
          <w:color w:val="FFFFFF"/>
        </w:rPr>
        <w:t xml:space="preserve">  TIME-CRITICAL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Administered by DCCEEW / business.gov.au; open now, closes 5:00 pm AEST Wednesday 6 May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Total pool: AUD $32.6 million; grants from AUD $1M to AUD $10M per project; minimum eligible project expenditure AUD $2M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Two-stage process: Expression of Interest (Stage 1) → invited full application (Stage 2)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Eligible lead applicants: any entity incorporated in Australia with an ABN; foreign technology providers such as ARK must partner with an eligible Australian lead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Partnering with CSIRO Energy is the recommended pathway — provides ABN eligibility, independent credibility and technology validation in a single step (GG Advisory recommendation; not a programme rule)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Projects must be located in Australia, complete by 31 March 2031, and must not consist solely of a feasibility or engineering study; prior Round 1 recipients are ineligible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Strategic fit for ARK: HIGH — programme explicitly targets novel and emerging carbon management technologies for hard-to-abate industrial emitters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ARENA — Industrial Transformation Stream (ITS) Round 3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OPEN | ROLLING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Open and ongoing since September 2025; AUD $180M available; no hard deadline — applications assessed on rolling basis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Supports feasibility studies, FEED, trials, demonstrations and full deployment for industrial decarbonisation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Complementary to CCTP: can fund project-development stages before or alongside a CCTP grant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Emissions Reduction Fund / ACCU Scheme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REVENUE MECHANISM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Verified carbon abatement from eligible CCS projects can generate Australian Carbon Credit Units (ACCUs)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Spot price Q1 2026: approximately AUD $30–42/t (elevated ahead of March Safeguard compliance deadline); live prices paywalled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Long-term outlook: flat at AUD $30–35/t to at least 2028, projected to rise toward AUD $70/t by 2035 (EY Net Zero Centre, January 2026)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ACCU revenue is conditional on project structure, CER method compliance and grant funding arrangements — treat as potential upside only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Clean Energy Finance Corporation (CEFC)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CO-INVESTMENT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debt and equity co-investment for clean energy projects; relevant at construction/deployment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Has co-invested alongside ARENA in industrial decarbonisation (e.g. AUD $57.5M subordinated debt into East Rockingham WtE)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R&amp;D Tax Incentive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TAX INCENTIVE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below AUD $20M: refundable offset at corporate tax rate + 18.5% premium (= 43.5% at the standard 25% rate); excess refunded as cash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AUD $20M or above: non-refundable offset at corporate tax rate + 8.5% (0–2% R&amp;D intensity) or + 16.5% (above 2% R&amp;D intensity)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Relevant for ARK once an Australian entity is established; registration deadline within 10 months of income year end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MARKET &amp; POLICY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Regulatory Driver — Safeguard Mechanism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REGULATORY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Applies to 219 facilities (confirmed 2023-24; 2024-25 final data due to CER by 15 April 2026, current estimate ~220) emitting more than 100,000 tCO₂e/year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Covers mining, manufacturing, domestic transport, oil, gas and waste sectors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Default baselines decline at 4.9% per year through to 30 June 2030; trade-exposed baseline-adjusted (TEBA) facilities may qualify for a reduced minimum decline rate of 1–2%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Facilities in excess must surrender ACCUs or Safeguard Mechanism Credits (SMCs) by 31 March each 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The scheme's aggregate trajectory requires that net emissions from all Safeguard facilities do not exceed 100 MtCO₂e in 2029-30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mandatory government review of Safeguard policy settings is scheduled for 2026-27, covering post-2030 trajectory, ACCU/SMC limits, use of international offsets, and calibration to Australia's updated NDC — outcome could materially affect compliance costs and the value of on-site capture investments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National Climate Targets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POLICY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Legislated 2030 target: 43% reduction below 2005 levels; net zero by 2050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Updated NDC submitted to the UN in September 2025: 62–70% below 2005 levels by 2035 — substantially increases pressure on hard-to-abate industrial sectors beyond 2030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Scale of CCS required: the 2023 Net Zero Australia study (cited in the government's Future Gas Strategy, May 2024) projects that Australia will need to achieve geological sequestration of approximately 150 Mtpa CO₂ by 2040 in most net-zero scenarios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Electricity Prices — Relevance to ARK's Fully-Electric Model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MARKET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NEM wholesale average fell to approximately AUD $50/MWh in Q4 2025 (down ~44% year-on-year), driven by record renewable penetration exceeding 50% of NEM demand for the first 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Negative and near-zero wholesale price periods are increasing in all mainland NEM regions: AEMO recorded negative prices in 48.4% of intervals in South Australia and 43.1% in Victoria in Q4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flexible electric system can operate preferentially during low/negative-price periods; amine scrubbing cannot (requires continuous steam)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Delivered industrial electricity cost varies significantly by state and contract structure — site-specific energy modelling is required for any client proposal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Key Emitting Sectors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OPPORTUNITY SECTORS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Waste-to-energy: combustion flue gas CO₂ typically 8–12%; Kwinana (Perth, WA) is Australia's only operational WtE facility (opened November 2025)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Cement and lime: ~4.7 Mt CO₂/year from Australian integrated cement production (2020-21); of this ~60% is process/calcination CO₂ (LEILAC domain), ~28% is thermal combustion flue gas at 14–25% CO₂ (ARK's domain), ~12% is indirect electricity emissions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Biomass / sugar co-generation: flue gas CO₂ typically 10–14%; Queensland bagasse mills are medium-term targets after an Australian ARK reference project is established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Gas-fired power: flue gas CO₂ typically 4–9% — lowest concentration, most challenging economic case; longer-term opportunity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CCS Storage Infrastructure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INFRASTRUCTURE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Gorgon CCS (WA, Chevron): Australia's first commercial CCS project; stored more than 11 Mt CO₂ to July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Moomba CCS (SA, Santos): operational since October 2024; storing approximately 1.7 Mtpa CO₂ in depleted Cooper Basin gas fields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South West Hub (WA): proposed regional CO₂ storage hub in the Perth Basin; relevant to Kwinana/Adbri/ARK cluster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10 offshore storage acreage areas released in 2023 across Bonaparte, Browse, Northern Carnarvon, Perth, Otway, Bass and Gippsland basins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COMPETITORS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Amine / MEA Post-Combustion Capture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INCUMBENT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Mature technology; capture efficiency up to 95% but requires continuous steam for solvent regeneration — cost and energy penalty increases sharply at lower CO₂ concentrations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states capture cost at low concentrations is €90–156/tonne CO₂ for amine scrubbing (company-stated benchmark; no independent Australian cost study found)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Cannot exploit low/negative electricity price periods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 commercially deployed for WtE or biomass flue gas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/ LEILAC — Complementary, Not Competing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COMPLEMENTARY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LEILAC uses indirect heating to capture unavoidable process/calcination CO₂ (~60% of integrated cement plant emissions) — it does not address combustion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addresses the thermal combustion flue gas portion (~28% of cement plant emissions, 14–25% CO₂ concentration) which LEILAC does not capture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combined LEILAC + ARK proposal for a cement or lime plant covers whole-plant decarbonisation — the strongest possible CCTP Round 2 application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Australian status: AUD $15M CCTP Round 1 grant for Project ZETA (lime CCU demonstration, South Australia); pre-FEED completed 26 September 2025; now at FEED stage, on budget and on schedule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Heidelberg Materials (Cement Australia's parent) holds an indefinite global LEILAC licence; LEILAC-2 commissioning in Germany (Ennigerloh) targeted mid-2026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Membrane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Emerging technology; not commercially deployed at industrial scale for flue gas streams below ~10% CO₂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Cryogenic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Fully electric process; suited to contaminated flue streams in principle; very high electricity consumption per tonne CO₂; not commercially deployed at WtE or biomass scale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 — Amine-Based PCC Research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ACTIVE R&amp;D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CSIRO has developed proprietary cyclic amine absorbents with claimed lower energy requirements than conventional MEA; partnership with US-based ION Clean Energy for commercialisation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R&amp;D programme targeting post-combustion capture across concentration ranges; no commercial deployment in Australia identified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Also relevant as a potential CCTP Round 2 lead partner for ARK (CSIRO is an ABN-holding eligible lead applicant)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Competitive Position Summary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SUMMARY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 clear public evidence of a competing commercial technology deployed for low-concentration flue gas capture at WtE, biomass or cement combustion flue gas scale in Australia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claim of cost leadership in the 4–15% CO₂ range is directionally credible based on publicly available information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Publication of independent pilot performance data from the Belgian 50 t/yr plant would be the single most important step toward commercial credibility with Australian buyers and grant panels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PARTNERS &amp; BUYERS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Kwinana Energy Recovery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WtE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Owner: ACCIONA (100% since March 2024); day-to-day operations and maintenance: Veolia (long-term O&amp;M services contract)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Capacity: 460,000 tonnes/year non-recyclable waste; 38 MW baseload electricity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Officially opened 14 November 2025; processed 90,000+ tonnes in first three months of operation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Flue gas CO₂ concentration: approximately 8–12% — directly within ARK's target range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Australia's only operational WtE facility; ACCC (July 2025): no other WtE facility likely to become operational in WA within the next decade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Highest near-term priority: ACCIONA has strong incentive to lead on decarbonisation at its flagship asset; Veolia operates 65 similar facilities globally and has direct interest in green credentials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East Rockingham Resource Recovery Facility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E67E22"/>
          <w:color w:val="FFFFFF"/>
        </w:rPr>
        <w:t xml:space="preserve">  WATCHLIST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Approved capacity: 300,000 t/year; 29 MW; AUD $511M project (AUD $18M ARENA grant, AUD $57.5M CEFC debt)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Currently in voluntary administration and receivership; ACCIONA's proposed acquisition was withdrawn on 13 October 2025 following ACCC competition concerns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As of Q1 2026, no new buyer or resolution has been publicly announced; operational timeline and ownership entirely uncertain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do not engage until administration and ownership are fully resolved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Boral — Berrima Cement Works, NSW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Supplies approximately 40% of NSW and ACT cement (Boral, December 2024); combustion flue gas at approximately 14–25% CO₂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CCS activity: a recarbonation-based CCS pilot plant operational at Berrima (different and complementary mechanism to ARK, not competing)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AUD $25.45M NSW State Government funding secured for alternative fuels transition (coal → alternative fuels, targeting 60% non-coal kiln energy within 3 years); smaller federal fund supports the recarbonation pilot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Note: an earlier AUD $30M federal Calix/LEILAC project at Berrima was under the CCUS Hubs and Technologies Programme, cancelled by the federal government in October 2022; that project did not proceed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CEO confirmed CCS is part of the company's long-term net-zero-by-2050 strategy alongside near-term fuel switching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approach after ARK has established a Calix partnership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Adbri / Cockburn Cement — Kwinana,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Majority-owned by CRH plc (acquisition completed 2024; Adbri delisted from ASX); Barro Group retains minority stake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Co-located with Kwinana Energy Recovery facility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LEILAC lime partnership: Calix awarded AUD $11M federal grant for a LEILAC low-emissions lime demonstration at Kwinana with Adbri (calcination CO₂); ARK would address combustion flue gas CO₂ remaining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Kwinana Upgrade Project: AUD $199M investment consolidating two cement sites; ~20% CO₂ reduction versus legacy operations; combustion emissions remain unaddressed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Cement Australia — Gladstone, QLD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PRIORITY 2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Joint venture of Holcim and Heidelberg Materials (Heidelberg holds indefinite global LEILAC licence)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Gladstone plant: MoU with Mitsubishi Gas Chemical Company (October 2022) to study green methanol production using captured CO₂ and green hydrogen (Carbopath™); Phase 1 — targeted AUD $150M first-stage plant, ~100,000 t/yr methanol — has a targeted Phase 1 commercial operation start of mid-2028 per Queensland Government; no Final Investment Decision confirmed publicly; treat as MoU/feasibility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ACCC approved Cement Australia's acquisition of BGC Cementitious in September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medium-term; combustion flue gas remains a potential ARK opportunity regardless of Gladstone methanol project outcome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National science agency; ABN holder; eligible CCTP Round 2 lead applicant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independent technology validation — critical for ARK's credibility with Australian buyers and grant panels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Recommended first contact: CSIRO Energy group (Newcastle)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Limited (ASX: CXL)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STRATEGIC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Australian-listed company; Project ZETA pre-FEED completed 26 September 2025; now at FEED stage; AUD $15M CCTP Round 1 grant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Natural strategic partner: combined Calix (calcination CO₂) + ARK (combustion CO₂) covers whole-plant cement/lime decarbonisation — strongest possible CCTP Round 2 application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HILT CRC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Heavy Industry Low-Carbon Transition CRC; members include Adbri, Calix, University of Adelaide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industry network access and potential co-applicant status for grant applications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Wilmar Sugar / MSF Sugar — Queensland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PRIORITY 3 | BIOMASS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Operate bagasse co-generation mills producing approximately 10–14% CO₂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viable ARK target after an Australian reference project is established — do not engage before ARK pilot results available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200" w:after="0"/>
        <w:jc w:val="left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888888"/>
          <w:sz w:val="17"/>
          <w:u w:val="none"/>
        </w:rPr>
        <w:t>© GG Advisory  |  gg-advisory.org  |  This brief is prepared exclusively for ARK Capture Solutions. Confidential — not for redistribution.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888888"/>
          <w:sz w:val="17"/>
          <w:u w:val="none"/>
        </w:rPr>
        <w:t>Generated: 02 August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