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val="0"/>
          <w:i w:val="0"/>
          <w:color w:val="555555"/>
          <w:sz w:val="20"/>
          <w:u w:val="none"/>
        </w:rPr>
        <w:t>GG Advisory  |  Monthly Signals Digest</w:t>
      </w:r>
    </w:p>
    <w:p>
      <w:pPr>
        <w:spacing w:before="0" w:after="120"/>
      </w:pPr>
      <w:r>
        <w:rPr>
          <w:rFonts w:ascii="Calibri" w:hAnsi="Calibri"/>
          <w:b/>
          <w:i w:val="0"/>
          <w:color w:val="1B7A6B"/>
          <w:sz w:val="44"/>
          <w:u w:val="none"/>
        </w:rPr>
        <w:t>July 2026</w:t>
      </w:r>
    </w:p>
    <w:p>
      <w:pPr>
        <w:spacing w:before="40" w:after="40"/>
        <w:pBdr>
          <w:bottom w:val="single" w:sz="18" w:space="1" w:color="1B7A6B"/>
        </w:pBdr>
      </w:pPr>
    </w:p>
    <w:p>
      <w:pPr>
        <w:spacing w:before="200" w:after="80"/>
      </w:pPr>
      <w:r>
        <w:rPr>
          <w:rFonts w:ascii="Calibri" w:hAnsi="Calibri"/>
          <w:b/>
          <w:i w:val="0"/>
          <w:color w:val="2C2C2C"/>
          <w:sz w:val="24"/>
          <w:u w:val="single"/>
        </w:rPr>
        <w:t>Top Lines</w:t>
      </w:r>
    </w:p>
    <w:p>
      <w:pPr>
        <w:pStyle w:val="ListBullet"/>
        <w:spacing w:before="40" w:after="40"/>
      </w:pPr>
      <w:r>
        <w:rPr>
          <w:rFonts w:ascii="Calibri" w:hAnsi="Calibri"/>
          <w:b w:val="0"/>
          <w:i w:val="0"/>
          <w:color w:val="2C2C2C"/>
          <w:sz w:val="22"/>
          <w:u w:val="none"/>
        </w:rPr>
        <w:t>AEMC's new rule mandates Distribution Network Development Plans with a 20-year horizon.</w:t>
      </w:r>
    </w:p>
    <w:p>
      <w:pPr>
        <w:pStyle w:val="ListBullet"/>
        <w:spacing w:before="40" w:after="40"/>
      </w:pPr>
      <w:r>
        <w:rPr>
          <w:rFonts w:ascii="Calibri" w:hAnsi="Calibri"/>
          <w:b w:val="0"/>
          <w:i w:val="0"/>
          <w:color w:val="2C2C2C"/>
          <w:sz w:val="22"/>
          <w:u w:val="none"/>
        </w:rPr>
        <w:t>APRA mandates APRA Connect for ADI reporting from 31 July 2026.</w:t>
      </w:r>
    </w:p>
    <w:p>
      <w:pPr>
        <w:pStyle w:val="ListBullet"/>
        <w:spacing w:before="40" w:after="40"/>
      </w:pPr>
      <w:r>
        <w:rPr>
          <w:rFonts w:ascii="Calibri" w:hAnsi="Calibri"/>
          <w:b w:val="0"/>
          <w:i w:val="0"/>
          <w:color w:val="2C2C2C"/>
          <w:sz w:val="22"/>
          <w:u w:val="none"/>
        </w:rPr>
        <w:t>Deutsche Bank reports €31 billion in sustainable financing this quarter.</w:t>
      </w:r>
    </w:p>
    <w:p>
      <w:pPr>
        <w:spacing w:before="280" w:after="0"/>
      </w:pPr>
    </w:p>
    <w:p>
      <w:pPr>
        <w:spacing w:before="0" w:after="80"/>
      </w:pPr>
      <w:r>
        <w:rPr>
          <w:rFonts w:ascii="Calibri" w:hAnsi="Calibri"/>
          <w:b/>
          <w:i w:val="0"/>
          <w:color w:val="1B7A6B"/>
          <w:sz w:val="26"/>
          <w:u w:val="single"/>
        </w:rPr>
        <w:t>ENERGY TRANSITION</w:t>
      </w:r>
    </w:p>
    <w:p>
      <w:pPr>
        <w:spacing w:before="40" w:after="40"/>
        <w:pBdr>
          <w:bottom w:val="single" w:sz="8" w:space="1" w:color="1B7A6B"/>
        </w:pBdr>
      </w:pPr>
    </w:p>
    <w:p>
      <w:pPr>
        <w:spacing w:before="200" w:after="40"/>
      </w:pPr>
      <w:r>
        <w:rPr>
          <w:rFonts w:ascii="Calibri" w:hAnsi="Calibri"/>
          <w:b/>
          <w:i w:val="0"/>
          <w:color w:val="2C2C2C"/>
          <w:sz w:val="23"/>
          <w:u w:val="none"/>
        </w:rPr>
        <w:t>AEMC Final Rule Enhances Grid Visibility</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16 July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Australian Energy Market Commission (AEMC) has introduced a rule to improve visibility and planning of local electricity grids, driven by consumer energy resources like rooftop solar and EVs. Distribution Network Service Providers must now publish a 20-year Distribution Network Development Plan. This rule is part of a broader reform to integrate consumer energy resources into the energy system.</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Boards of energy companies should align their strategic planning with the new 20-year horizon requirement to ensure compliance and optimize grid investments.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Monitor the Australian Energy Regulator's development of detailed data guidelines.</w:t>
      </w:r>
    </w:p>
    <w:p>
      <w:pPr>
        <w:spacing w:before="40" w:after="120"/>
      </w:pPr>
      <w:r>
        <w:rPr>
          <w:rFonts w:ascii="Calibri" w:hAnsi="Calibri"/>
          <w:b/>
          <w:i w:val="0"/>
          <w:color w:val="555555"/>
          <w:sz w:val="21"/>
          <w:u w:val="none"/>
        </w:rPr>
        <w:t xml:space="preserve">Source:  </w:t>
      </w:r>
      <w:hyperlink r:id="rId9" w:history="1">
        <w:r>
          <w:rPr>
            <w:rStyle w:val="Hyperlink"/>
            <w:color w:val="005EA2"/>
            <w:sz w:val="22"/>
            <w:szCs w:val="22"/>
          </w:rPr>
          <w:t>AEMC News</w:t>
        </w:r>
      </w:hyperlink>
    </w:p>
    <w:p>
      <w:pPr>
        <w:spacing w:before="200" w:after="40"/>
      </w:pPr>
      <w:r>
        <w:rPr>
          <w:rFonts w:ascii="Calibri" w:hAnsi="Calibri"/>
          <w:b/>
          <w:i w:val="0"/>
          <w:color w:val="2C2C2C"/>
          <w:sz w:val="23"/>
          <w:u w:val="none"/>
        </w:rPr>
        <w:t>Solar PV Installer Banned for Non-compliance</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13 July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Clean Energy Regulator has banned Sandeep Laxman Shinde from installing solar PV systems under the Small-scale Renewable Energy Scheme for three years due to non-compliance, including failing to meet onsite attendance requirements and providing false statements.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Solar companies must ensure compliance with accreditation requirements to avoid similar penalties and maintain eligibility for small-scale technology certificates.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Track updates on compliance requirements from the Clean Energy Regulator.</w:t>
      </w:r>
    </w:p>
    <w:p>
      <w:pPr>
        <w:spacing w:before="40" w:after="120"/>
      </w:pPr>
      <w:r>
        <w:rPr>
          <w:rFonts w:ascii="Calibri" w:hAnsi="Calibri"/>
          <w:b/>
          <w:i w:val="0"/>
          <w:color w:val="555555"/>
          <w:sz w:val="21"/>
          <w:u w:val="none"/>
        </w:rPr>
        <w:t xml:space="preserve">Source:  </w:t>
      </w:r>
      <w:hyperlink r:id="rId10" w:history="1">
        <w:r>
          <w:rPr>
            <w:rStyle w:val="Hyperlink"/>
            <w:color w:val="005EA2"/>
            <w:sz w:val="22"/>
            <w:szCs w:val="22"/>
          </w:rPr>
          <w:t>CER News</w:t>
        </w:r>
      </w:hyperlink>
    </w:p>
    <w:p>
      <w:pPr>
        <w:spacing w:before="280" w:after="0"/>
      </w:pPr>
    </w:p>
    <w:p>
      <w:pPr>
        <w:spacing w:before="0" w:after="80"/>
      </w:pPr>
      <w:r>
        <w:rPr>
          <w:rFonts w:ascii="Calibri" w:hAnsi="Calibri"/>
          <w:b/>
          <w:i w:val="0"/>
          <w:color w:val="1B7A6B"/>
          <w:sz w:val="26"/>
          <w:u w:val="single"/>
        </w:rPr>
        <w:t>ESG REPORTING</w:t>
      </w:r>
    </w:p>
    <w:p>
      <w:pPr>
        <w:spacing w:before="40" w:after="40"/>
        <w:pBdr>
          <w:bottom w:val="single" w:sz="8" w:space="1" w:color="1B7A6B"/>
        </w:pBdr>
      </w:pPr>
    </w:p>
    <w:p>
      <w:pPr>
        <w:spacing w:before="200" w:after="40"/>
      </w:pPr>
      <w:r>
        <w:rPr>
          <w:rFonts w:ascii="Calibri" w:hAnsi="Calibri"/>
          <w:b/>
          <w:i w:val="0"/>
          <w:color w:val="2C2C2C"/>
          <w:sz w:val="23"/>
          <w:u w:val="none"/>
        </w:rPr>
        <w:t>EFRAG Launches Consultation on ESRS-40a Draft</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23 July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EFRAG has opened a 100-day public consultation on the ESRS-40a Exposure Draft, targeting non-EU undertakings with significant EU activities. The draft supports the Corporate Sustainability Reporting Directive and aims to ensure transparency on environmental impacts. Feedback will shape EFRAG's final advice to the European Commission, expected in January 2027.</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companies with EU operations should prepare to comply with ESRS-40a standards by 2028, ensuring transparency in sustainability impacts.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EFRAG's final advice to the European Commission in January 2027.</w:t>
      </w:r>
    </w:p>
    <w:p>
      <w:pPr>
        <w:spacing w:before="40" w:after="120"/>
      </w:pPr>
      <w:r>
        <w:rPr>
          <w:rFonts w:ascii="Calibri" w:hAnsi="Calibri"/>
          <w:b/>
          <w:i w:val="0"/>
          <w:color w:val="555555"/>
          <w:sz w:val="21"/>
          <w:u w:val="none"/>
        </w:rPr>
        <w:t xml:space="preserve">Source:  </w:t>
      </w:r>
      <w:hyperlink r:id="rId11" w:history="1">
        <w:r>
          <w:rPr>
            <w:rStyle w:val="Hyperlink"/>
            <w:color w:val="005EA2"/>
            <w:sz w:val="22"/>
            <w:szCs w:val="22"/>
          </w:rPr>
          <w:t>EFRAG News</w:t>
        </w:r>
      </w:hyperlink>
    </w:p>
    <w:p>
      <w:pPr>
        <w:spacing w:before="200" w:after="40"/>
      </w:pPr>
      <w:r>
        <w:rPr>
          <w:rFonts w:ascii="Calibri" w:hAnsi="Calibri"/>
          <w:b/>
          <w:i w:val="0"/>
          <w:color w:val="2C2C2C"/>
          <w:sz w:val="23"/>
          <w:u w:val="none"/>
        </w:rPr>
        <w:t>APRA Ends Alternate Submission Process for ADIs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31 July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APRA has announced that from 31 July 2026, all ADIs must submit reporting collections via APRA Connect, ending the Alternate Submission Process. This change aims to improve data accuracy and consistency.</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CFOs at ADIs must ensure their teams are ready to use APRA Connect for submissions starting 31 July 2026 to avoid compliance issues.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APRA's updates on any further changes to reporting processes.</w:t>
      </w:r>
    </w:p>
    <w:p>
      <w:pPr>
        <w:spacing w:before="40" w:after="120"/>
      </w:pPr>
      <w:r>
        <w:rPr>
          <w:rFonts w:ascii="Calibri" w:hAnsi="Calibri"/>
          <w:b/>
          <w:i w:val="0"/>
          <w:color w:val="555555"/>
          <w:sz w:val="21"/>
          <w:u w:val="none"/>
        </w:rPr>
        <w:t xml:space="preserve">Source:  </w:t>
      </w:r>
      <w:hyperlink r:id="rId12" w:history="1">
        <w:r>
          <w:rPr>
            <w:rStyle w:val="Hyperlink"/>
            <w:color w:val="005EA2"/>
            <w:sz w:val="22"/>
            <w:szCs w:val="22"/>
          </w:rPr>
          <w:t>APRA News</w:t>
        </w:r>
      </w:hyperlink>
    </w:p>
    <w:p>
      <w:pPr>
        <w:spacing w:before="280" w:after="0"/>
      </w:pPr>
    </w:p>
    <w:p>
      <w:pPr>
        <w:spacing w:before="0" w:after="80"/>
      </w:pPr>
      <w:r>
        <w:rPr>
          <w:rFonts w:ascii="Calibri" w:hAnsi="Calibri"/>
          <w:b/>
          <w:i w:val="0"/>
          <w:color w:val="1B7A6B"/>
          <w:sz w:val="26"/>
          <w:u w:val="single"/>
        </w:rPr>
        <w:t>SUSTAINABLE FINANCE &amp; INVESTMENT</w:t>
      </w:r>
    </w:p>
    <w:p>
      <w:pPr>
        <w:spacing w:before="40" w:after="40"/>
        <w:pBdr>
          <w:bottom w:val="single" w:sz="8" w:space="1" w:color="1B7A6B"/>
        </w:pBdr>
      </w:pPr>
    </w:p>
    <w:p>
      <w:pPr>
        <w:spacing w:before="200" w:after="40"/>
      </w:pPr>
      <w:r>
        <w:rPr>
          <w:rFonts w:ascii="Calibri" w:hAnsi="Calibri"/>
          <w:b/>
          <w:i w:val="0"/>
          <w:color w:val="2C2C2C"/>
          <w:sz w:val="23"/>
          <w:u w:val="none"/>
        </w:rPr>
        <w:t>Deutsche Bank Achieves €31 Billion in Sustainable Financing</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30 July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Deutsche Bank reported €31 billion in sustainable and transition financing volumes this quarter, marking its strongest performance in over four years. This reflects a growing focus on sustainable finance initiatives.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investors should consider Deutsche Bank's sustainable finance strategies as a benchmark for evaluating potential investment opportunities in sustainable finance.</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Deutsche Bank's future quarterly reports for trends in sustainable finance growth.</w:t>
      </w:r>
    </w:p>
    <w:p>
      <w:pPr>
        <w:spacing w:before="40" w:after="120"/>
      </w:pPr>
      <w:r>
        <w:rPr>
          <w:rFonts w:ascii="Calibri" w:hAnsi="Calibri"/>
          <w:b/>
          <w:i w:val="0"/>
          <w:color w:val="555555"/>
          <w:sz w:val="21"/>
          <w:u w:val="none"/>
        </w:rPr>
        <w:t xml:space="preserve">Source:  </w:t>
      </w:r>
      <w:hyperlink r:id="rId13" w:history="1">
        <w:r>
          <w:rPr>
            <w:rStyle w:val="Hyperlink"/>
            <w:color w:val="005EA2"/>
            <w:sz w:val="22"/>
            <w:szCs w:val="22"/>
          </w:rPr>
          <w:t>ESG Today</w:t>
        </w:r>
      </w:hyperlink>
    </w:p>
    <w:p>
      <w:pPr>
        <w:spacing w:before="200" w:after="40"/>
      </w:pPr>
      <w:r>
        <w:rPr>
          <w:rFonts w:ascii="Calibri" w:hAnsi="Calibri"/>
          <w:b/>
          <w:i w:val="0"/>
          <w:color w:val="2C2C2C"/>
          <w:sz w:val="23"/>
          <w:u w:val="none"/>
        </w:rPr>
        <w:t>Schneider Electric Acquires AiDASH for $350 Million</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31 July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Schneider Electric has acquired AiDASH, a provider of AI-powered grid resilience solutions, for $350 million. This acquisition aims to enhance Schneider's capabilities in managing grid resilience and sustainability.</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energy companies should evaluate the integration of AI solutions for grid management to enhance resilience and sustainability.</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Schneider Electric's integration plans for AiDASH's technology.</w:t>
      </w:r>
    </w:p>
    <w:p>
      <w:pPr>
        <w:spacing w:before="40" w:after="120"/>
      </w:pPr>
      <w:r>
        <w:rPr>
          <w:rFonts w:ascii="Calibri" w:hAnsi="Calibri"/>
          <w:b/>
          <w:i w:val="0"/>
          <w:color w:val="555555"/>
          <w:sz w:val="21"/>
          <w:u w:val="none"/>
        </w:rPr>
        <w:t xml:space="preserve">Source:  </w:t>
      </w:r>
      <w:hyperlink r:id="rId14" w:history="1">
        <w:r>
          <w:rPr>
            <w:rStyle w:val="Hyperlink"/>
            <w:color w:val="005EA2"/>
            <w:sz w:val="22"/>
            <w:szCs w:val="22"/>
          </w:rPr>
          <w:t>ESG Today</w:t>
        </w:r>
      </w:hyperlink>
    </w:p>
    <w:p>
      <w:pPr>
        <w:spacing w:before="280" w:after="0"/>
      </w:pPr>
    </w:p>
    <w:p>
      <w:pPr>
        <w:spacing w:before="0" w:after="80"/>
      </w:pPr>
      <w:r>
        <w:rPr>
          <w:rFonts w:ascii="Calibri" w:hAnsi="Calibri"/>
          <w:b/>
          <w:i w:val="0"/>
          <w:color w:val="1B7A6B"/>
          <w:sz w:val="26"/>
          <w:u w:val="single"/>
        </w:rPr>
        <w:t>CLEANTECH &amp; START-UP ECOSYSTEM — GRANTS &amp; ACCELERATORS RADAR</w:t>
      </w:r>
    </w:p>
    <w:p>
      <w:pPr>
        <w:spacing w:before="40" w:after="40"/>
        <w:pBdr>
          <w:bottom w:val="single" w:sz="8" w:space="1" w:color="1B7A6B"/>
        </w:pBdr>
      </w:pPr>
    </w:p>
    <w:p>
      <w:pPr>
        <w:spacing w:before="200" w:after="40"/>
      </w:pPr>
      <w:r>
        <w:rPr>
          <w:rFonts w:ascii="Calibri" w:hAnsi="Calibri"/>
          <w:b/>
          <w:i w:val="0"/>
          <w:color w:val="2C2C2C"/>
          <w:sz w:val="23"/>
          <w:u w:val="none"/>
        </w:rPr>
        <w:t>National programs — open on a rolling basis</w:t>
      </w:r>
    </w:p>
    <w:p>
      <w:pPr>
        <w:spacing w:before="200" w:after="40"/>
      </w:pPr>
      <w:r>
        <w:rPr>
          <w:rFonts w:ascii="Calibri" w:hAnsi="Calibri"/>
          <w:b/>
          <w:i w:val="0"/>
          <w:color w:val="2C2C2C"/>
          <w:sz w:val="23"/>
          <w:u w:val="none"/>
        </w:rPr>
        <w:t>Australia's Economic Accelerator (AEA) — Ignite &amp; Innovate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Round 2 details and opening dates are published on aea.gov.au. The $1.6B envelope means multiple rounds are expected across 2026–2030.</w:t>
      </w:r>
    </w:p>
    <w:p>
      <w:pPr>
        <w:spacing w:before="200" w:after="40"/>
      </w:pPr>
      <w:r>
        <w:rPr>
          <w:rFonts w:ascii="Calibri" w:hAnsi="Calibri"/>
          <w:b/>
          <w:i w:val="0"/>
          <w:color w:val="2C2C2C"/>
          <w:sz w:val="23"/>
          <w:u w:val="none"/>
        </w:rPr>
        <w:t>ARENA Advancing Renewables Program</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Covers the widest range of clean energy technologies of any national program. Suitable for companies with working prototypes ready for demonstration at scale.</w:t>
      </w:r>
    </w:p>
    <w:p>
      <w:pPr>
        <w:spacing w:before="200" w:after="40"/>
      </w:pPr>
      <w:r>
        <w:rPr>
          <w:rFonts w:ascii="Calibri" w:hAnsi="Calibri"/>
          <w:b/>
          <w:i w:val="0"/>
          <w:color w:val="2C2C2C"/>
          <w:sz w:val="23"/>
          <w:u w:val="none"/>
        </w:rPr>
        <w:t>Future Made in Australia (FMIA) Innovation Fund — ARENA</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largest single cleantech manufacturing opportunity in Australia's history. ARENA encourages early engagement before submitting an EOI — contact their team first.</w:t>
      </w:r>
    </w:p>
    <w:p>
      <w:pPr>
        <w:spacing w:before="200" w:after="40"/>
      </w:pPr>
      <w:r>
        <w:rPr>
          <w:rFonts w:ascii="Calibri" w:hAnsi="Calibri"/>
          <w:b/>
          <w:i w:val="0"/>
          <w:color w:val="2C2C2C"/>
          <w:sz w:val="23"/>
          <w:u w:val="none"/>
        </w:rPr>
        <w:t>Brinc / Artesian Clean Energy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few cleantech-exclusive accelerators in Australia with a rolling application process and clear follow-on capital pathway via Artesian. The online format removes geography barriers.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Artesian's Clean Energy Seed Fund can follow with $200K–$2M. Artesian is also active in CEFC-backed co-investment mandates, providing access to further institutional capital.</w:t>
      </w:r>
    </w:p>
    <w:p>
      <w:pPr>
        <w:spacing w:before="200" w:after="40"/>
      </w:pPr>
      <w:r>
        <w:rPr>
          <w:rFonts w:ascii="Calibri" w:hAnsi="Calibri"/>
          <w:b/>
          <w:i w:val="0"/>
          <w:color w:val="2C2C2C"/>
          <w:sz w:val="23"/>
          <w:u w:val="none"/>
        </w:rPr>
        <w:t>CEFC / Virescent Ventures Fund 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startups that have cleared product-market fit and are ready for institutional equity, this is the most relevant Australian climate-tech fund currently deploying capital.</w:t>
      </w:r>
    </w:p>
    <w:p>
      <w:pPr>
        <w:spacing w:before="200" w:after="40"/>
      </w:pPr>
      <w:r>
        <w:rPr>
          <w:rFonts w:ascii="Calibri" w:hAnsi="Calibri"/>
          <w:b/>
          <w:i w:val="0"/>
          <w:color w:val="2C2C2C"/>
          <w:sz w:val="23"/>
          <w:u w:val="none"/>
        </w:rPr>
        <w:t>CSIRO ON Accelerate — Cohort 12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prestigious non-dilutive pathway for early-stage deep-tech founders in Australia. Subscribe to on@csiro.au for early notification when Cohort 12 opens.</w:t>
      </w:r>
    </w:p>
    <w:p>
      <w:pPr>
        <w:spacing w:before="200" w:after="40"/>
      </w:pPr>
      <w:r>
        <w:rPr>
          <w:rFonts w:ascii="Calibri" w:hAnsi="Calibri"/>
          <w:b/>
          <w:i w:val="0"/>
          <w:color w:val="2C2C2C"/>
          <w:sz w:val="23"/>
          <w:u w:val="none"/>
        </w:rPr>
        <w:t>Hydrogen Headstart — Round 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Hydrogen Production Tax Incentive ($2/kg refundable tax offset from 1 July 2027) is designed to complement Headstart, bridging the revenue gap until market prices reach parity.</w:t>
      </w:r>
    </w:p>
    <w:p>
      <w:pPr>
        <w:spacing w:before="200" w:after="40"/>
      </w:pPr>
      <w:r>
        <w:rPr>
          <w:rFonts w:ascii="Calibri" w:hAnsi="Calibri"/>
          <w:b/>
          <w:i w:val="0"/>
          <w:color w:val="2C2C2C"/>
          <w:sz w:val="23"/>
          <w:u w:val="none"/>
        </w:rPr>
        <w:t>Industry Growth Program (IGP)</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national programs directly supporting cleantech SMEs at early stage. Apply urgently — the pool is depleting. The NRF Net Zero Fund (concessional debt/equity, $3B+) is expected to open mid-2026 as a growth-stage complement.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NRF Net Zero Fund expected to open mid-2026 for larger growth-stage capital needs.</w:t>
      </w:r>
    </w:p>
    <w:p>
      <w:pPr>
        <w:spacing w:before="200" w:after="40"/>
      </w:pPr>
      <w:r>
        <w:rPr>
          <w:rFonts w:ascii="Calibri" w:hAnsi="Calibri"/>
          <w:b/>
          <w:i w:val="0"/>
          <w:color w:val="2C2C2C"/>
          <w:sz w:val="23"/>
          <w:u w:val="none"/>
        </w:rPr>
        <w:t>Main Sequence Ventures — Fund III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MSEQ is the largest LP in CSIRO's A$150M commitment through Australia's Economic Accelerator (AEA). Startups coming through AEA Ignite/Innovate have a natural pathway to MSEQ consideration.</w:t>
      </w:r>
    </w:p>
    <w:p>
      <w:pPr>
        <w:spacing w:before="200" w:after="40"/>
      </w:pPr>
      <w:r>
        <w:rPr>
          <w:rFonts w:ascii="Calibri" w:hAnsi="Calibri"/>
          <w:b/>
          <w:i w:val="0"/>
          <w:color w:val="2C2C2C"/>
          <w:sz w:val="23"/>
          <w:u w:val="none"/>
        </w:rPr>
        <w:t>National Reconstruction Fund — Net Zero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NRFC general portfolio (NRF priority areas, commercial terms) is already open. The Net Zero sub-fund will layer on additional concessionality from mid-2026. Register interest at nrf.gov.au.</w:t>
      </w:r>
    </w:p>
    <w:p>
      <w:pPr>
        <w:spacing w:before="200" w:after="40"/>
      </w:pPr>
      <w:r>
        <w:rPr>
          <w:rFonts w:ascii="Calibri" w:hAnsi="Calibri"/>
          <w:b/>
          <w:i w:val="0"/>
          <w:color w:val="2C2C2C"/>
          <w:sz w:val="23"/>
          <w:u w:val="none"/>
        </w:rPr>
        <w:t>R&amp;D Tax Incentive (R&amp;DTI)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Consult an R&amp;D tax specialist before lodging — the ATO audits R&amp;D claims closely and requires contemporaneous records of technical uncertainty, hypothesis, experiments, and outcomes.</w:t>
      </w:r>
    </w:p>
    <w:p>
      <w:pPr>
        <w:spacing w:before="200" w:after="40"/>
      </w:pPr>
      <w:r>
        <w:rPr>
          <w:rFonts w:ascii="Calibri" w:hAnsi="Calibri"/>
          <w:b/>
          <w:i w:val="0"/>
          <w:color w:val="2C2C2C"/>
          <w:sz w:val="23"/>
          <w:u w:val="none"/>
        </w:rPr>
        <w:t>Startmate Accelerator — Winter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highest-profile generalist accelerator in Australia with a strong climate-tech track record. Strong network effects: the Startmate community of founders, operators, and investors is one of Australia's most active and supportive.</w:t>
      </w:r>
    </w:p>
    <w:p>
      <w:pPr>
        <w:spacing w:before="200" w:after="40"/>
      </w:pPr>
      <w:r>
        <w:rPr>
          <w:rFonts w:ascii="Calibri" w:hAnsi="Calibri"/>
          <w:b/>
          <w:i w:val="0"/>
          <w:color w:val="2C2C2C"/>
          <w:sz w:val="23"/>
          <w:u w:val="none"/>
        </w:rPr>
        <w:t>State &amp; territory programs</w:t>
      </w:r>
    </w:p>
    <w:p>
      <w:pPr>
        <w:spacing w:before="200" w:after="40"/>
      </w:pPr>
      <w:r>
        <w:rPr>
          <w:rFonts w:ascii="Calibri" w:hAnsi="Calibri"/>
          <w:b/>
          <w:i w:val="0"/>
          <w:color w:val="2C2C2C"/>
          <w:sz w:val="23"/>
          <w:u w:val="none"/>
        </w:rPr>
        <w:t>ACT: Energy Innovation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ACT's primary grant channel for early-stage energy innovation, particularly valuable for startups seeking a smaller pilot-scale test market before national rollout. The quarterly rolling assessment means no fixed deadline pressure.</w:t>
      </w:r>
    </w:p>
    <w:p>
      <w:pPr>
        <w:spacing w:before="200" w:after="40"/>
      </w:pPr>
      <w:r>
        <w:rPr>
          <w:rFonts w:ascii="Calibri" w:hAnsi="Calibri"/>
          <w:b/>
          <w:i w:val="0"/>
          <w:color w:val="2C2C2C"/>
          <w:sz w:val="23"/>
          <w:u w:val="none"/>
        </w:rPr>
        <w:t>NSW: I2N Cleantech Accelerator — University of Newcastle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sector-specific cleantech accelerators outside Sydney and Melbourne, with genuine depth in clean energy and recycling commercialisation. TRaCE funding gives it stronger resource backing than typical university accelerators.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Applications typically open April, with an info session in May and programme starting August. Monitor hunternewenergy.com.au for next cohort announcements.</w:t>
      </w:r>
    </w:p>
    <w:p>
      <w:pPr>
        <w:spacing w:before="200" w:after="40"/>
      </w:pPr>
      <w:r>
        <w:rPr>
          <w:rFonts w:ascii="Calibri" w:hAnsi="Calibri"/>
          <w:b/>
          <w:i w:val="0"/>
          <w:color w:val="2C2C2C"/>
          <w:sz w:val="23"/>
          <w:u w:val="none"/>
        </w:rPr>
        <w:t>NSW Net Zero Manufacturing Initiative (NZMI)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substantial manufacturing-focused cleantech grant program in NSW. CTI's commercialisation stream ($250K–$5M) is directly relevant to startups with validated technology seeking production scale-up capital.</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Register interest at energy.nsw.gov.au/NZMI for Round 2 notification. Round 2 construction-ready streams expected to carry larger pools than Round 1.</w:t>
      </w:r>
    </w:p>
    <w:p>
      <w:pPr>
        <w:spacing w:before="200" w:after="40"/>
      </w:pPr>
      <w:r>
        <w:rPr>
          <w:rFonts w:ascii="Calibri" w:hAnsi="Calibri"/>
          <w:b/>
          <w:i w:val="0"/>
          <w:color w:val="2C2C2C"/>
          <w:sz w:val="23"/>
          <w:u w:val="none"/>
        </w:rPr>
        <w:t>NSW: UNSW Climate 10x Accelerator (TRaCE Trailblazer)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Federal Trailblazer funding means this program has significant resources for participants compared to standard accelerators. Clean energy and recycling sectors particularly well served.</w:t>
      </w:r>
    </w:p>
    <w:p>
      <w:pPr>
        <w:spacing w:before="200" w:after="40"/>
      </w:pPr>
      <w:r>
        <w:rPr>
          <w:rFonts w:ascii="Calibri" w:hAnsi="Calibri"/>
          <w:b/>
          <w:i w:val="0"/>
          <w:color w:val="2C2C2C"/>
          <w:sz w:val="23"/>
          <w:u w:val="none"/>
        </w:rPr>
        <w:t>QLD: Advance Queensland — Ignite Ideas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non-dilutive commercialisation grant for Queensland startups. Monitor advance.qld.gov.au for Round 13 opening dates.</w:t>
      </w:r>
    </w:p>
    <w:p>
      <w:pPr>
        <w:spacing w:before="200" w:after="40"/>
      </w:pPr>
      <w:r>
        <w:rPr>
          <w:rFonts w:ascii="Calibri" w:hAnsi="Calibri"/>
          <w:b/>
          <w:i w:val="0"/>
          <w:color w:val="2C2C2C"/>
          <w:sz w:val="23"/>
          <w:u w:val="none"/>
        </w:rPr>
        <w:t>SA: Green Industries SA — Circular Economy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SA's primary cleantech/circular economy grant channel. Businesses in materials, waste-to-energy, and recycling sectors should register their interest with GISA directly.</w:t>
      </w:r>
    </w:p>
    <w:p>
      <w:pPr>
        <w:spacing w:before="200" w:after="40"/>
      </w:pPr>
      <w:r>
        <w:rPr>
          <w:rFonts w:ascii="Calibri" w:hAnsi="Calibri"/>
          <w:b/>
          <w:i w:val="0"/>
          <w:color w:val="2C2C2C"/>
          <w:sz w:val="23"/>
          <w:u w:val="none"/>
        </w:rPr>
        <w:t>TAS: ReCFIT Climate Change Business Innovation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Tasmania's primary cleantech SME grant. Relatively small pool — early applications are advantaged. Monitor recfit.tas.gov.au for the 2026 round.</w:t>
      </w:r>
    </w:p>
    <w:p>
      <w:pPr>
        <w:spacing w:before="200" w:after="40"/>
      </w:pPr>
      <w:r>
        <w:rPr>
          <w:rFonts w:ascii="Calibri" w:hAnsi="Calibri"/>
          <w:b/>
          <w:i w:val="0"/>
          <w:color w:val="2C2C2C"/>
          <w:sz w:val="23"/>
          <w:u w:val="none"/>
        </w:rPr>
        <w:t>VIC: Breakthrough Victoria — Clean Economy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Victorian cleantech founders should prioritise Virescent Ventures and Boson Ventures as their first equity contacts — BV's co-investment mandate increases deal size and credibility.</w:t>
      </w:r>
    </w:p>
    <w:p>
      <w:pPr>
        <w:spacing w:before="200" w:after="40"/>
      </w:pPr>
      <w:r>
        <w:rPr>
          <w:rFonts w:ascii="Calibri" w:hAnsi="Calibri"/>
          <w:b/>
          <w:i w:val="0"/>
          <w:color w:val="2C2C2C"/>
          <w:sz w:val="23"/>
          <w:u w:val="none"/>
        </w:rPr>
        <w:t>WA: Founders Factory Nature Tech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Western Australia's most direct pathway for early-stage environmental-tech founders. The $7.2M multi-year commitment signals ongoing cohort delivery — monitor foundersfactory.com for next intake.</w:t>
      </w:r>
    </w:p>
    <w:p>
      <w:pPr>
        <w:spacing w:before="320" w:after="0"/>
      </w:pPr>
    </w:p>
    <w:p>
      <w:pPr>
        <w:spacing w:before="40" w:after="40"/>
        <w:pBdr>
          <w:bottom w:val="single" w:sz="6" w:space="1" w:color="AAAAAA"/>
        </w:pBdr>
      </w:pPr>
    </w:p>
    <w:p>
      <w:pPr>
        <w:spacing w:before="80" w:after="0"/>
      </w:pPr>
      <w:r>
        <w:rPr>
          <w:rFonts w:ascii="Calibri" w:hAnsi="Calibri"/>
          <w:b w:val="0"/>
          <w:i/>
          <w:color w:val="555555"/>
          <w:sz w:val="18"/>
          <w:u w:val="none"/>
        </w:rPr>
        <w:t>© GG Advisory  |  gg-advisory.org  |  Monthly digest — for strategic informational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mc.gov.au/news-centre/media-releases/new-rule-make-invisible-visible-across-distribution-network" TargetMode="External"/><Relationship Id="rId10" Type="http://schemas.openxmlformats.org/officeDocument/2006/relationships/hyperlink" Target="https://www.cer.gov.au/news-and-media/news/2026/july/solar-pv-installer-declared-ineligible-to-install-solar-systems-and-batteries-under-sres-sandeep" TargetMode="External"/><Relationship Id="rId11" Type="http://schemas.openxmlformats.org/officeDocument/2006/relationships/hyperlink" Target="https://www.efrag.org/en/news-and-calendar/news/efrag-launches-public-consultation-on-the-esrs40a-exposure-draft-for-certain-noneu-undertakings" TargetMode="External"/><Relationship Id="rId12" Type="http://schemas.openxmlformats.org/officeDocument/2006/relationships/hyperlink" Target="https://www.apra.gov.au/news-and-publications/end-alternate-submission-process-adis-and-rfcs" TargetMode="External"/><Relationship Id="rId13" Type="http://schemas.openxmlformats.org/officeDocument/2006/relationships/hyperlink" Target="https://www.esgtoday.com/deutsche-bank-reports-strongest-sustainable-finance-quarter-in-over-4-years/" TargetMode="External"/><Relationship Id="rId14" Type="http://schemas.openxmlformats.org/officeDocument/2006/relationships/hyperlink" Target="https://www.esgtoday.com/schneider-electric-acquires-grid-resilience-solutions-provider-aidash-for-350-mil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