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57C" w:rsidRDefault="00F3057C"/>
    <w:p w:rsidR="00297D4F" w:rsidRDefault="00297D4F" w:rsidP="00130E23">
      <w:pPr>
        <w:spacing w:after="0" w:line="360" w:lineRule="auto"/>
        <w:jc w:val="both"/>
      </w:pPr>
    </w:p>
    <w:p w:rsidR="00297D4F" w:rsidRDefault="00297D4F" w:rsidP="00130E23">
      <w:pPr>
        <w:spacing w:after="0" w:line="360" w:lineRule="auto"/>
        <w:jc w:val="both"/>
      </w:pPr>
    </w:p>
    <w:p w:rsidR="00297D4F" w:rsidRPr="000837D5" w:rsidRDefault="00297D4F" w:rsidP="00130E23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  <w:lang w:val="cs-CZ"/>
        </w:rPr>
      </w:pPr>
      <w:r w:rsidRPr="000837D5">
        <w:rPr>
          <w:rFonts w:ascii="Times New Roman" w:hAnsi="Times New Roman" w:cs="Times New Roman"/>
          <w:b/>
          <w:sz w:val="48"/>
          <w:szCs w:val="48"/>
        </w:rPr>
        <w:t>Semestráln</w:t>
      </w:r>
      <w:r w:rsidRPr="000837D5">
        <w:rPr>
          <w:rFonts w:ascii="Times New Roman" w:hAnsi="Times New Roman" w:cs="Times New Roman"/>
          <w:b/>
          <w:sz w:val="48"/>
          <w:szCs w:val="48"/>
          <w:lang w:val="cs-CZ"/>
        </w:rPr>
        <w:t>í práce</w:t>
      </w:r>
    </w:p>
    <w:p w:rsidR="00297D4F" w:rsidRDefault="00297D4F" w:rsidP="00130E23">
      <w:pPr>
        <w:spacing w:after="0" w:line="360" w:lineRule="auto"/>
        <w:jc w:val="both"/>
        <w:rPr>
          <w:sz w:val="48"/>
          <w:szCs w:val="48"/>
          <w:lang w:val="cs-CZ"/>
        </w:rPr>
      </w:pPr>
    </w:p>
    <w:p w:rsidR="00297D4F" w:rsidRDefault="00297D4F" w:rsidP="00130E23">
      <w:pPr>
        <w:spacing w:after="0" w:line="360" w:lineRule="auto"/>
        <w:jc w:val="both"/>
        <w:rPr>
          <w:sz w:val="48"/>
          <w:szCs w:val="48"/>
          <w:lang w:val="cs-CZ"/>
        </w:rPr>
      </w:pPr>
    </w:p>
    <w:p w:rsidR="00297D4F" w:rsidRDefault="00297D4F" w:rsidP="00130E23">
      <w:pPr>
        <w:spacing w:after="0" w:line="360" w:lineRule="auto"/>
        <w:jc w:val="both"/>
        <w:rPr>
          <w:sz w:val="48"/>
          <w:szCs w:val="48"/>
          <w:lang w:val="cs-CZ"/>
        </w:rPr>
      </w:pPr>
    </w:p>
    <w:p w:rsidR="00297D4F" w:rsidRDefault="00297D4F" w:rsidP="00130E23">
      <w:pPr>
        <w:spacing w:after="0" w:line="360" w:lineRule="auto"/>
        <w:jc w:val="both"/>
        <w:rPr>
          <w:sz w:val="48"/>
          <w:szCs w:val="48"/>
          <w:lang w:val="cs-CZ"/>
        </w:rPr>
      </w:pPr>
    </w:p>
    <w:p w:rsidR="00297D4F" w:rsidRPr="000837D5" w:rsidRDefault="00BF6C8E" w:rsidP="00130E23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cs-CZ"/>
        </w:rPr>
        <w:t>Vztah mezi pra</w:t>
      </w:r>
      <w:r w:rsidR="00297D4F" w:rsidRPr="000837D5">
        <w:rPr>
          <w:rFonts w:ascii="Times New Roman" w:hAnsi="Times New Roman" w:cs="Times New Roman"/>
          <w:b/>
          <w:sz w:val="48"/>
          <w:szCs w:val="48"/>
          <w:lang w:val="cs-CZ"/>
        </w:rPr>
        <w:t>covní sílou a GDP na obyvatele ve České republice</w:t>
      </w:r>
    </w:p>
    <w:p w:rsidR="000837D5" w:rsidRPr="000837D5" w:rsidRDefault="004D3AB5" w:rsidP="00130E23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cs-CZ"/>
        </w:rPr>
        <w:t>z</w:t>
      </w:r>
      <w:r w:rsidR="00B62D6D">
        <w:rPr>
          <w:rFonts w:ascii="Times New Roman" w:hAnsi="Times New Roman" w:cs="Times New Roman"/>
          <w:b/>
          <w:sz w:val="48"/>
          <w:szCs w:val="48"/>
          <w:lang w:val="cs-CZ"/>
        </w:rPr>
        <w:t>a</w:t>
      </w:r>
      <w:r>
        <w:rPr>
          <w:rFonts w:ascii="Times New Roman" w:hAnsi="Times New Roman" w:cs="Times New Roman"/>
          <w:b/>
          <w:sz w:val="48"/>
          <w:szCs w:val="48"/>
          <w:lang w:val="cs-CZ"/>
        </w:rPr>
        <w:t xml:space="preserve"> </w:t>
      </w:r>
      <w:r w:rsidR="00297D4F" w:rsidRPr="000837D5">
        <w:rPr>
          <w:rFonts w:ascii="Times New Roman" w:hAnsi="Times New Roman" w:cs="Times New Roman"/>
          <w:b/>
          <w:sz w:val="48"/>
          <w:szCs w:val="48"/>
          <w:lang w:val="en-US"/>
        </w:rPr>
        <w:t>období 1990 - 2017</w:t>
      </w:r>
    </w:p>
    <w:p w:rsidR="000837D5" w:rsidRPr="000837D5" w:rsidRDefault="000837D5" w:rsidP="00130E23">
      <w:pPr>
        <w:spacing w:after="0" w:line="360" w:lineRule="auto"/>
        <w:jc w:val="center"/>
        <w:rPr>
          <w:sz w:val="48"/>
          <w:szCs w:val="48"/>
          <w:lang w:val="en-US"/>
        </w:rPr>
      </w:pPr>
    </w:p>
    <w:p w:rsidR="000837D5" w:rsidRPr="000837D5" w:rsidRDefault="000837D5" w:rsidP="00130E23">
      <w:pPr>
        <w:spacing w:after="0" w:line="360" w:lineRule="auto"/>
        <w:jc w:val="center"/>
        <w:rPr>
          <w:sz w:val="48"/>
          <w:szCs w:val="48"/>
          <w:lang w:val="en-US"/>
        </w:rPr>
      </w:pPr>
    </w:p>
    <w:p w:rsidR="000837D5" w:rsidRPr="000837D5" w:rsidRDefault="000837D5" w:rsidP="00130E23">
      <w:pPr>
        <w:spacing w:after="0" w:line="360" w:lineRule="auto"/>
        <w:jc w:val="center"/>
        <w:rPr>
          <w:sz w:val="48"/>
          <w:szCs w:val="48"/>
          <w:lang w:val="en-US"/>
        </w:rPr>
      </w:pPr>
    </w:p>
    <w:p w:rsidR="000837D5" w:rsidRDefault="000837D5" w:rsidP="00130E23">
      <w:pPr>
        <w:spacing w:after="0" w:line="360" w:lineRule="auto"/>
        <w:jc w:val="center"/>
        <w:rPr>
          <w:sz w:val="48"/>
          <w:szCs w:val="48"/>
          <w:lang w:val="en-US"/>
        </w:rPr>
      </w:pPr>
    </w:p>
    <w:p w:rsidR="000837D5" w:rsidRDefault="000837D5" w:rsidP="00130E23">
      <w:pPr>
        <w:tabs>
          <w:tab w:val="left" w:pos="101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837D5">
        <w:rPr>
          <w:rFonts w:ascii="Times New Roman" w:hAnsi="Times New Roman" w:cs="Times New Roman"/>
          <w:sz w:val="24"/>
          <w:szCs w:val="24"/>
          <w:lang w:val="en-US"/>
        </w:rPr>
        <w:t>Kurz: Světová ekonomika a podnikaní 1</w:t>
      </w:r>
    </w:p>
    <w:p w:rsidR="000837D5" w:rsidRDefault="000837D5" w:rsidP="00130E23">
      <w:pPr>
        <w:tabs>
          <w:tab w:val="left" w:pos="101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Přednašející: </w:t>
      </w:r>
      <w:r w:rsidR="008337D9">
        <w:rPr>
          <w:rFonts w:ascii="Times New Roman" w:hAnsi="Times New Roman" w:cs="Times New Roman"/>
          <w:sz w:val="24"/>
          <w:szCs w:val="24"/>
          <w:lang w:val="cs-CZ"/>
        </w:rPr>
        <w:t>Tomáš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Evan</w:t>
      </w:r>
    </w:p>
    <w:p w:rsidR="000837D5" w:rsidRDefault="000837D5" w:rsidP="00130E23">
      <w:pPr>
        <w:tabs>
          <w:tab w:val="left" w:pos="101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Datum</w:t>
      </w:r>
      <w:r>
        <w:rPr>
          <w:rFonts w:ascii="Times New Roman" w:hAnsi="Times New Roman" w:cs="Times New Roman"/>
          <w:sz w:val="24"/>
          <w:szCs w:val="24"/>
          <w:lang w:val="en-US"/>
        </w:rPr>
        <w:t>: 18.04.2019</w:t>
      </w:r>
    </w:p>
    <w:p w:rsidR="000837D5" w:rsidRDefault="000837D5" w:rsidP="00130E23">
      <w:pPr>
        <w:tabs>
          <w:tab w:val="left" w:pos="101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837D5" w:rsidRDefault="000837D5" w:rsidP="00130E23">
      <w:pPr>
        <w:tabs>
          <w:tab w:val="left" w:pos="101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837D5" w:rsidRDefault="000837D5" w:rsidP="00130E23">
      <w:pPr>
        <w:tabs>
          <w:tab w:val="left" w:pos="101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Ivan Demchenko</w:t>
      </w:r>
    </w:p>
    <w:p w:rsidR="008E764D" w:rsidRDefault="008E764D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E764D" w:rsidRDefault="006150C7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0E2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Abstrakt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:rsidR="00AF260A" w:rsidRPr="006150C7" w:rsidRDefault="006150C7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150C7">
        <w:rPr>
          <w:rFonts w:ascii="Times New Roman" w:hAnsi="Times New Roman" w:cs="Times New Roman"/>
          <w:sz w:val="24"/>
          <w:szCs w:val="24"/>
          <w:lang w:val="cs-CZ"/>
        </w:rPr>
        <w:t>V této práci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jsme se budeme</w:t>
      </w:r>
      <w:r w:rsidRPr="006150C7">
        <w:rPr>
          <w:rFonts w:ascii="Times New Roman" w:hAnsi="Times New Roman" w:cs="Times New Roman"/>
          <w:sz w:val="24"/>
          <w:szCs w:val="24"/>
          <w:lang w:val="cs-CZ"/>
        </w:rPr>
        <w:t xml:space="preserve"> zabývat vztahem mezi pracovní silou a HDP na obyvatele v České republice v letech 1990 až 2017. Nárůst HDP je doprovázen nárůstem počtu zaměstnaných osob a zvyšováním životní úrovně. Růst zaměstnanosti je přirozeným důsledkem růstu HDP, který je zase důsledkem zvýšení spotřebitelské poptávky po zboží a službách. Růst HDP a úroveň zaměstnanosti naznačují, že ekonomika roste. (1) Podle praktického obchodníka Erica Naimana: „Hnací silou rozvoje výroby je podnět k uspokojení potřeb svých občanů.“ (2)</w:t>
      </w:r>
    </w:p>
    <w:p w:rsidR="00AF260A" w:rsidRDefault="006150C7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150C7">
        <w:rPr>
          <w:rFonts w:ascii="Times New Roman" w:hAnsi="Times New Roman" w:cs="Times New Roman"/>
          <w:sz w:val="24"/>
          <w:szCs w:val="24"/>
          <w:lang w:val="cs-CZ"/>
        </w:rPr>
        <w:t>Hypotéza naznačuje, že existuje pozitivní korelace mezi pracovní silou a HDP na obyvatele. Ekonomickou analýzou údajů získaných ze Světové banky, Eurostatu, Českého statistického úřadu, bude tato hypotéza buď potvrzena, nebo vyvrácena.</w:t>
      </w:r>
    </w:p>
    <w:p w:rsidR="007E2599" w:rsidRDefault="007E2599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7E2599" w:rsidRPr="007E2599" w:rsidRDefault="007E2599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7E2599">
        <w:rPr>
          <w:rFonts w:ascii="Times New Roman" w:hAnsi="Times New Roman" w:cs="Times New Roman"/>
          <w:b/>
          <w:sz w:val="24"/>
          <w:szCs w:val="24"/>
          <w:lang w:val="cs-CZ"/>
        </w:rPr>
        <w:t>Klíčová slova:</w:t>
      </w:r>
    </w:p>
    <w:p w:rsidR="007E2599" w:rsidRPr="007E2599" w:rsidRDefault="007E2599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E2599">
        <w:rPr>
          <w:rFonts w:ascii="Times New Roman" w:hAnsi="Times New Roman" w:cs="Times New Roman"/>
          <w:sz w:val="24"/>
          <w:szCs w:val="24"/>
          <w:lang w:val="cs-CZ"/>
        </w:rPr>
        <w:t>HDP na obyvatele, zaměstnanost, pracovní síla, vyspělé země, Česká republika.</w:t>
      </w:r>
    </w:p>
    <w:p w:rsidR="007E2599" w:rsidRDefault="007E2599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7E2599" w:rsidRDefault="007E2599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2599">
        <w:rPr>
          <w:rFonts w:ascii="Times New Roman" w:hAnsi="Times New Roman" w:cs="Times New Roman"/>
          <w:b/>
          <w:sz w:val="24"/>
          <w:szCs w:val="24"/>
          <w:lang w:val="en-US"/>
        </w:rPr>
        <w:t>JEL klasifikace:</w:t>
      </w:r>
    </w:p>
    <w:p w:rsidR="007E2599" w:rsidRDefault="007E2599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E24, O11, O15, O52</w:t>
      </w:r>
    </w:p>
    <w:p w:rsidR="007E2599" w:rsidRDefault="007E2599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E2599" w:rsidRPr="007E2599" w:rsidRDefault="007E2599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2599">
        <w:rPr>
          <w:rFonts w:ascii="Times New Roman" w:hAnsi="Times New Roman" w:cs="Times New Roman"/>
          <w:b/>
          <w:sz w:val="24"/>
          <w:szCs w:val="24"/>
          <w:lang w:val="en-US"/>
        </w:rPr>
        <w:t>Hypotéza:</w:t>
      </w:r>
    </w:p>
    <w:p w:rsidR="007E2599" w:rsidRPr="007E2599" w:rsidRDefault="007E2599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2599">
        <w:rPr>
          <w:rFonts w:ascii="Times New Roman" w:hAnsi="Times New Roman" w:cs="Times New Roman"/>
          <w:sz w:val="24"/>
          <w:szCs w:val="24"/>
          <w:lang w:val="en-US"/>
        </w:rPr>
        <w:t xml:space="preserve">Nárůst pracovní síly pozitivně souvisí s růstem HDP </w:t>
      </w:r>
      <w:proofErr w:type="gramStart"/>
      <w:r w:rsidRPr="007E2599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gramEnd"/>
      <w:r w:rsidRPr="007E2599">
        <w:rPr>
          <w:rFonts w:ascii="Times New Roman" w:hAnsi="Times New Roman" w:cs="Times New Roman"/>
          <w:sz w:val="24"/>
          <w:szCs w:val="24"/>
          <w:lang w:val="en-US"/>
        </w:rPr>
        <w:t xml:space="preserve"> obyvatele.</w:t>
      </w:r>
    </w:p>
    <w:p w:rsidR="007E2599" w:rsidRPr="007E2599" w:rsidRDefault="007E2599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2599">
        <w:rPr>
          <w:rFonts w:ascii="Times New Roman" w:hAnsi="Times New Roman" w:cs="Times New Roman"/>
          <w:sz w:val="24"/>
          <w:szCs w:val="24"/>
          <w:lang w:val="en-US"/>
        </w:rPr>
        <w:t xml:space="preserve">H0 - neexistuje korelace mezi </w:t>
      </w:r>
      <w:r>
        <w:rPr>
          <w:rFonts w:ascii="Times New Roman" w:hAnsi="Times New Roman" w:cs="Times New Roman"/>
          <w:sz w:val="24"/>
          <w:szCs w:val="24"/>
          <w:lang w:val="en-US"/>
        </w:rPr>
        <w:t>počtem</w:t>
      </w:r>
      <w:r w:rsidRPr="007E2599">
        <w:rPr>
          <w:rFonts w:ascii="Times New Roman" w:hAnsi="Times New Roman" w:cs="Times New Roman"/>
          <w:sz w:val="24"/>
          <w:szCs w:val="24"/>
          <w:lang w:val="en-US"/>
        </w:rPr>
        <w:t xml:space="preserve"> pracovní síly a HDP.</w:t>
      </w:r>
    </w:p>
    <w:p w:rsidR="007E2599" w:rsidRDefault="007E2599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2599">
        <w:rPr>
          <w:rFonts w:ascii="Times New Roman" w:hAnsi="Times New Roman" w:cs="Times New Roman"/>
          <w:sz w:val="24"/>
          <w:szCs w:val="24"/>
          <w:lang w:val="en-US"/>
        </w:rPr>
        <w:t xml:space="preserve">H1 - existuje korelace mezi </w:t>
      </w:r>
      <w:r>
        <w:rPr>
          <w:rFonts w:ascii="Times New Roman" w:hAnsi="Times New Roman" w:cs="Times New Roman"/>
          <w:sz w:val="24"/>
          <w:szCs w:val="24"/>
          <w:lang w:val="en-US"/>
        </w:rPr>
        <w:t>počtem</w:t>
      </w:r>
      <w:r w:rsidRPr="007E2599">
        <w:rPr>
          <w:rFonts w:ascii="Times New Roman" w:hAnsi="Times New Roman" w:cs="Times New Roman"/>
          <w:sz w:val="24"/>
          <w:szCs w:val="24"/>
          <w:lang w:val="en-US"/>
        </w:rPr>
        <w:t xml:space="preserve"> pracovní síly a HDP.</w:t>
      </w:r>
    </w:p>
    <w:p w:rsidR="004053C1" w:rsidRDefault="004053C1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053C1" w:rsidRDefault="004053C1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53C1">
        <w:rPr>
          <w:rFonts w:ascii="Times New Roman" w:hAnsi="Times New Roman" w:cs="Times New Roman"/>
          <w:b/>
          <w:sz w:val="24"/>
          <w:szCs w:val="24"/>
          <w:lang w:val="en-US"/>
        </w:rPr>
        <w:t>Kritérium důvěry:</w:t>
      </w:r>
    </w:p>
    <w:p w:rsidR="004053C1" w:rsidRDefault="004053C1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053C1" w:rsidRDefault="004053C1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korelace </w:t>
      </w:r>
      <w:r w:rsidR="00463A7B">
        <w:rPr>
          <w:rFonts w:ascii="Times New Roman" w:hAnsi="Times New Roman" w:cs="Times New Roman"/>
          <w:sz w:val="24"/>
          <w:szCs w:val="24"/>
          <w:lang w:val="en-US"/>
        </w:rPr>
        <w:t>vyšší než 0</w:t>
      </w:r>
      <w:proofErr w:type="gramStart"/>
      <w:r w:rsidR="00463A7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053C1">
        <w:rPr>
          <w:rFonts w:ascii="Times New Roman" w:hAnsi="Times New Roman" w:cs="Times New Roman"/>
          <w:sz w:val="24"/>
          <w:szCs w:val="24"/>
          <w:lang w:val="en-US"/>
        </w:rPr>
        <w:t>5</w:t>
      </w:r>
      <w:proofErr w:type="gramEnd"/>
    </w:p>
    <w:p w:rsidR="004053C1" w:rsidRPr="004053C1" w:rsidRDefault="004053C1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 -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hodnota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nižší než 0,05 (</w:t>
      </w:r>
      <w:r w:rsidRPr="004053C1">
        <w:rPr>
          <w:rFonts w:ascii="Times New Roman" w:hAnsi="Times New Roman" w:cs="Times New Roman"/>
          <w:sz w:val="24"/>
          <w:szCs w:val="24"/>
          <w:lang w:val="en-US"/>
        </w:rPr>
        <w:t>interval spolehlivosti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je od 95%</w:t>
      </w:r>
      <w:r w:rsidRPr="004053C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053C1" w:rsidRDefault="004053C1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053C1" w:rsidRPr="004053C1" w:rsidRDefault="004053C1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053C1">
        <w:rPr>
          <w:rFonts w:ascii="Times New Roman" w:hAnsi="Times New Roman" w:cs="Times New Roman"/>
          <w:b/>
          <w:sz w:val="24"/>
          <w:szCs w:val="24"/>
          <w:lang w:val="en-US"/>
        </w:rPr>
        <w:t>Nezávislá proměnná:</w:t>
      </w:r>
      <w:r>
        <w:rPr>
          <w:rFonts w:ascii="Times New Roman" w:hAnsi="Times New Roman" w:cs="Times New Roman"/>
          <w:sz w:val="24"/>
          <w:szCs w:val="24"/>
          <w:lang w:val="en-US"/>
        </w:rPr>
        <w:t>počet</w:t>
      </w:r>
      <w:r w:rsidRPr="004053C1">
        <w:rPr>
          <w:rFonts w:ascii="Times New Roman" w:hAnsi="Times New Roman" w:cs="Times New Roman"/>
          <w:sz w:val="24"/>
          <w:szCs w:val="24"/>
          <w:lang w:val="en-US"/>
        </w:rPr>
        <w:t xml:space="preserve"> pracovní síly</w:t>
      </w:r>
    </w:p>
    <w:p w:rsidR="004053C1" w:rsidRDefault="004053C1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053C1">
        <w:rPr>
          <w:rFonts w:ascii="Times New Roman" w:hAnsi="Times New Roman" w:cs="Times New Roman"/>
          <w:b/>
          <w:sz w:val="24"/>
          <w:szCs w:val="24"/>
          <w:lang w:val="en-US"/>
        </w:rPr>
        <w:t>Závislá proměnná: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HDP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obyvatele</w:t>
      </w:r>
    </w:p>
    <w:p w:rsidR="00CB4F5C" w:rsidRDefault="00CB4F5C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B4F5C" w:rsidRDefault="00CB4F5C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B4F5C" w:rsidRDefault="00CB4F5C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B4F5C" w:rsidRDefault="00CB4F5C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B4F5C" w:rsidRPr="001321FC" w:rsidRDefault="00CB4F5C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0E23" w:rsidRPr="001321FC" w:rsidRDefault="00130E23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B4F5C" w:rsidRDefault="00CB4F5C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B4F5C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Úvod</w:t>
      </w:r>
    </w:p>
    <w:p w:rsidR="00CB4F5C" w:rsidRPr="00130E23" w:rsidRDefault="00CB4F5C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B4F5C" w:rsidRPr="001321FC" w:rsidRDefault="00513C71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21FC">
        <w:rPr>
          <w:rFonts w:ascii="Times New Roman" w:hAnsi="Times New Roman" w:cs="Times New Roman"/>
          <w:sz w:val="24"/>
          <w:szCs w:val="24"/>
          <w:lang w:val="en-US"/>
        </w:rPr>
        <w:t xml:space="preserve">Hrubý domácí produkt je hlavním ukazatelem, </w:t>
      </w:r>
      <w:proofErr w:type="gramStart"/>
      <w:r w:rsidRPr="001321FC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gramEnd"/>
      <w:r w:rsidRPr="001321FC">
        <w:rPr>
          <w:rFonts w:ascii="Times New Roman" w:hAnsi="Times New Roman" w:cs="Times New Roman"/>
          <w:sz w:val="24"/>
          <w:szCs w:val="24"/>
          <w:lang w:val="en-US"/>
        </w:rPr>
        <w:t xml:space="preserve"> jehož základě je určována úroveň a míra ekonomického vývoje země. Hlavními faktory růstu HDP jsou zapojení dodatečných zdrojů do výroby, především dodatečný fyzický kapitál a pracovní síla, jakož i zvýšení produktivity výrobních faktorů v důsledku vědeckého a technologického pokroku, využívání produktivnějších technologií a pokročilého vzdělávání pracovníků. (1) Během těchto období je důvěra spotřebitelů vysoká a poptávka po různých výrobcích a službách roste. Pro uspokojení této poptávky výrobci zboží a společnosti poskytující různé služby vytvářejí nová pracovní místa a najímají více lidí. Jacob Funk Kikegaard píše ve svém on-line článku: „Klíčem k udržení posledních vysokých ekonomických ukazatelů v eurozóně bude schopnost trhů práce v tomto regionu pokračovat ve vytváření nových pracovních míst</w:t>
      </w:r>
      <w:proofErr w:type="gramStart"/>
      <w:r w:rsidRPr="001321FC">
        <w:rPr>
          <w:rFonts w:ascii="Times New Roman" w:hAnsi="Times New Roman" w:cs="Times New Roman"/>
          <w:sz w:val="24"/>
          <w:szCs w:val="24"/>
          <w:lang w:val="en-US"/>
        </w:rPr>
        <w:t>“ (</w:t>
      </w:r>
      <w:proofErr w:type="gramEnd"/>
      <w:r w:rsidRPr="001321FC">
        <w:rPr>
          <w:rFonts w:ascii="Times New Roman" w:hAnsi="Times New Roman" w:cs="Times New Roman"/>
          <w:sz w:val="24"/>
          <w:szCs w:val="24"/>
          <w:lang w:val="en-US"/>
        </w:rPr>
        <w:t>3) Spolu s nárůstem absolutního počtu osob zaměstnaných v ekonomice se zvyšuje také úroveň ekonomické zaměstnanosti obyvatelstva. Podle čtvrtletního výběrového šetření pracovních sil vzrostla ekonomická míra zaměstnanosti 15-64 let v ČR na 48</w:t>
      </w:r>
      <w:proofErr w:type="gramStart"/>
      <w:r w:rsidRPr="001321FC">
        <w:rPr>
          <w:rFonts w:ascii="Times New Roman" w:hAnsi="Times New Roman" w:cs="Times New Roman"/>
          <w:sz w:val="24"/>
          <w:szCs w:val="24"/>
          <w:lang w:val="en-US"/>
        </w:rPr>
        <w:t>,1</w:t>
      </w:r>
      <w:proofErr w:type="gramEnd"/>
      <w:r w:rsidRPr="001321FC">
        <w:rPr>
          <w:rFonts w:ascii="Times New Roman" w:hAnsi="Times New Roman" w:cs="Times New Roman"/>
          <w:sz w:val="24"/>
          <w:szCs w:val="24"/>
          <w:lang w:val="en-US"/>
        </w:rPr>
        <w:t>% v roce 2017 oproti 44,43% v roce 2007.</w:t>
      </w:r>
      <w:r w:rsidR="006838B0" w:rsidRPr="001321F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6838B0" w:rsidRPr="00463A7B">
        <w:rPr>
          <w:rFonts w:ascii="Times New Roman" w:hAnsi="Times New Roman" w:cs="Times New Roman"/>
          <w:sz w:val="24"/>
          <w:szCs w:val="24"/>
          <w:lang w:val="en-US"/>
        </w:rPr>
        <w:t>Eurostat</w:t>
      </w:r>
      <w:r w:rsidR="006838B0" w:rsidRPr="001321F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hyperlink r:id="rId6" w:history="1">
        <w:r w:rsidR="006838B0" w:rsidRPr="00463A7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6838B0" w:rsidRPr="001321F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://</w:t>
        </w:r>
        <w:r w:rsidR="006838B0" w:rsidRPr="00463A7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europa</w:t>
        </w:r>
        <w:r w:rsidR="006838B0" w:rsidRPr="001321F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.</w:t>
        </w:r>
        <w:r w:rsidR="006838B0" w:rsidRPr="00463A7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eu</w:t>
        </w:r>
        <w:r w:rsidR="006838B0" w:rsidRPr="001321F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.</w:t>
        </w:r>
        <w:r w:rsidR="006838B0" w:rsidRPr="00463A7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int</w:t>
        </w:r>
        <w:r w:rsidR="006838B0" w:rsidRPr="001321F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  <w:r w:rsidR="006838B0" w:rsidRPr="00463A7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comm</w:t>
        </w:r>
        <w:r w:rsidR="006838B0" w:rsidRPr="001321F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  <w:r w:rsidR="006838B0" w:rsidRPr="00463A7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eurostat</w:t>
        </w:r>
        <w:r w:rsidR="006838B0" w:rsidRPr="001321F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  <w:r w:rsidR="006838B0" w:rsidRPr="001321F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6838B0" w:rsidRPr="001321FC" w:rsidRDefault="006838B0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3A7B">
        <w:rPr>
          <w:rFonts w:ascii="Times New Roman" w:hAnsi="Times New Roman" w:cs="Times New Roman"/>
          <w:sz w:val="24"/>
          <w:szCs w:val="24"/>
          <w:lang w:val="en-US"/>
        </w:rPr>
        <w:t>Za</w:t>
      </w:r>
      <w:r w:rsidRPr="00132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posledn</w:t>
      </w:r>
      <w:r w:rsidRPr="001321FC">
        <w:rPr>
          <w:rFonts w:ascii="Times New Roman" w:hAnsi="Times New Roman" w:cs="Times New Roman"/>
          <w:sz w:val="24"/>
          <w:szCs w:val="24"/>
          <w:lang w:val="en-US"/>
        </w:rPr>
        <w:t>í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1321FC"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Pr="00132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vykazuje</w:t>
      </w:r>
      <w:r w:rsidRPr="001321FC">
        <w:rPr>
          <w:rFonts w:ascii="Times New Roman" w:hAnsi="Times New Roman" w:cs="Times New Roman"/>
          <w:sz w:val="24"/>
          <w:szCs w:val="24"/>
          <w:lang w:val="en-US"/>
        </w:rPr>
        <w:t xml:space="preserve"> Č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esk</w:t>
      </w:r>
      <w:r w:rsidRPr="001321FC">
        <w:rPr>
          <w:rFonts w:ascii="Times New Roman" w:hAnsi="Times New Roman" w:cs="Times New Roman"/>
          <w:sz w:val="24"/>
          <w:szCs w:val="24"/>
          <w:lang w:val="en-US"/>
        </w:rPr>
        <w:t xml:space="preserve">á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republika</w:t>
      </w:r>
      <w:r w:rsidRPr="00132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pozitivn</w:t>
      </w:r>
      <w:r w:rsidRPr="001321FC">
        <w:rPr>
          <w:rFonts w:ascii="Times New Roman" w:hAnsi="Times New Roman" w:cs="Times New Roman"/>
          <w:sz w:val="24"/>
          <w:szCs w:val="24"/>
          <w:lang w:val="en-US"/>
        </w:rPr>
        <w:t xml:space="preserve">í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dynamiku</w:t>
      </w:r>
      <w:r w:rsidRPr="00132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ve</w:t>
      </w:r>
      <w:r w:rsidRPr="00132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321FC">
        <w:rPr>
          <w:rFonts w:ascii="Times New Roman" w:hAnsi="Times New Roman" w:cs="Times New Roman"/>
          <w:sz w:val="24"/>
          <w:szCs w:val="24"/>
          <w:lang w:val="en-US"/>
        </w:rPr>
        <w:t>ý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voji</w:t>
      </w:r>
      <w:r w:rsidRPr="00132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sv</w:t>
      </w:r>
      <w:r w:rsidRPr="001321FC">
        <w:rPr>
          <w:rFonts w:ascii="Times New Roman" w:hAnsi="Times New Roman" w:cs="Times New Roman"/>
          <w:sz w:val="24"/>
          <w:szCs w:val="24"/>
          <w:lang w:val="en-US"/>
        </w:rPr>
        <w:t xml:space="preserve">é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ekonomiky</w:t>
      </w:r>
      <w:r w:rsidRPr="001321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co</w:t>
      </w:r>
      <w:r w:rsidRPr="001321FC">
        <w:rPr>
          <w:rFonts w:ascii="Times New Roman" w:hAnsi="Times New Roman" w:cs="Times New Roman"/>
          <w:sz w:val="24"/>
          <w:szCs w:val="24"/>
          <w:lang w:val="en-US"/>
        </w:rPr>
        <w:t xml:space="preserve">ž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potvrzuj</w:t>
      </w:r>
      <w:r w:rsidRPr="001321FC">
        <w:rPr>
          <w:rFonts w:ascii="Times New Roman" w:hAnsi="Times New Roman" w:cs="Times New Roman"/>
          <w:sz w:val="24"/>
          <w:szCs w:val="24"/>
          <w:lang w:val="en-US"/>
        </w:rPr>
        <w:t xml:space="preserve">í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kl</w:t>
      </w:r>
      <w:r w:rsidRPr="001321FC">
        <w:rPr>
          <w:rFonts w:ascii="Times New Roman" w:hAnsi="Times New Roman" w:cs="Times New Roman"/>
          <w:sz w:val="24"/>
          <w:szCs w:val="24"/>
          <w:lang w:val="en-US"/>
        </w:rPr>
        <w:t>íč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ov</w:t>
      </w:r>
      <w:r w:rsidRPr="001321FC">
        <w:rPr>
          <w:rFonts w:ascii="Times New Roman" w:hAnsi="Times New Roman" w:cs="Times New Roman"/>
          <w:sz w:val="24"/>
          <w:szCs w:val="24"/>
          <w:lang w:val="en-US"/>
        </w:rPr>
        <w:t xml:space="preserve">é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makroekonomick</w:t>
      </w:r>
      <w:r w:rsidRPr="001321FC">
        <w:rPr>
          <w:rFonts w:ascii="Times New Roman" w:hAnsi="Times New Roman" w:cs="Times New Roman"/>
          <w:sz w:val="24"/>
          <w:szCs w:val="24"/>
          <w:lang w:val="en-US"/>
        </w:rPr>
        <w:t xml:space="preserve">é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ukazatele</w:t>
      </w:r>
      <w:r w:rsidRPr="001321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pokles</w:t>
      </w:r>
      <w:r w:rsidRPr="00132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nezam</w:t>
      </w:r>
      <w:r w:rsidRPr="001321FC">
        <w:rPr>
          <w:rFonts w:ascii="Times New Roman" w:hAnsi="Times New Roman" w:cs="Times New Roman"/>
          <w:sz w:val="24"/>
          <w:szCs w:val="24"/>
          <w:lang w:val="en-US"/>
        </w:rPr>
        <w:t>ě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stnanosti</w:t>
      </w:r>
      <w:r w:rsidRPr="001321FC">
        <w:rPr>
          <w:rFonts w:ascii="Times New Roman" w:hAnsi="Times New Roman" w:cs="Times New Roman"/>
          <w:sz w:val="24"/>
          <w:szCs w:val="24"/>
          <w:lang w:val="en-US"/>
        </w:rPr>
        <w:t xml:space="preserve"> (4),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zv</w:t>
      </w:r>
      <w:r w:rsidRPr="001321FC">
        <w:rPr>
          <w:rFonts w:ascii="Times New Roman" w:hAnsi="Times New Roman" w:cs="Times New Roman"/>
          <w:sz w:val="24"/>
          <w:szCs w:val="24"/>
          <w:lang w:val="en-US"/>
        </w:rPr>
        <w:t>ýš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en</w:t>
      </w:r>
      <w:r w:rsidRPr="001321FC">
        <w:rPr>
          <w:rFonts w:ascii="Times New Roman" w:hAnsi="Times New Roman" w:cs="Times New Roman"/>
          <w:sz w:val="24"/>
          <w:szCs w:val="24"/>
          <w:lang w:val="en-US"/>
        </w:rPr>
        <w:t xml:space="preserve">í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321FC">
        <w:rPr>
          <w:rFonts w:ascii="Times New Roman" w:hAnsi="Times New Roman" w:cs="Times New Roman"/>
          <w:sz w:val="24"/>
          <w:szCs w:val="24"/>
          <w:lang w:val="en-US"/>
        </w:rPr>
        <w:t>ří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jm</w:t>
      </w:r>
      <w:r w:rsidRPr="001321FC">
        <w:rPr>
          <w:rFonts w:ascii="Times New Roman" w:hAnsi="Times New Roman" w:cs="Times New Roman"/>
          <w:sz w:val="24"/>
          <w:szCs w:val="24"/>
          <w:lang w:val="en-US"/>
        </w:rPr>
        <w:t>ů č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esk</w:t>
      </w:r>
      <w:r w:rsidRPr="001321FC">
        <w:rPr>
          <w:rFonts w:ascii="Times New Roman" w:hAnsi="Times New Roman" w:cs="Times New Roman"/>
          <w:sz w:val="24"/>
          <w:szCs w:val="24"/>
          <w:lang w:val="en-US"/>
        </w:rPr>
        <w:t>ý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132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firem</w:t>
      </w:r>
      <w:r w:rsidRPr="00132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32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zv</w:t>
      </w:r>
      <w:r w:rsidRPr="001321FC">
        <w:rPr>
          <w:rFonts w:ascii="Times New Roman" w:hAnsi="Times New Roman" w:cs="Times New Roman"/>
          <w:sz w:val="24"/>
          <w:szCs w:val="24"/>
          <w:lang w:val="en-US"/>
        </w:rPr>
        <w:t>ýš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en</w:t>
      </w:r>
      <w:r w:rsidRPr="001321FC">
        <w:rPr>
          <w:rFonts w:ascii="Times New Roman" w:hAnsi="Times New Roman" w:cs="Times New Roman"/>
          <w:sz w:val="24"/>
          <w:szCs w:val="24"/>
          <w:lang w:val="en-US"/>
        </w:rPr>
        <w:t xml:space="preserve">í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spot</w:t>
      </w:r>
      <w:r w:rsidRPr="001321FC">
        <w:rPr>
          <w:rFonts w:ascii="Times New Roman" w:hAnsi="Times New Roman" w:cs="Times New Roman"/>
          <w:sz w:val="24"/>
          <w:szCs w:val="24"/>
          <w:lang w:val="en-US"/>
        </w:rPr>
        <w:t>ř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eby</w:t>
      </w:r>
      <w:r w:rsidRPr="001321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838B0" w:rsidRDefault="006838B0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3A7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>ř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iv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í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hlavn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í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hypot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>é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ze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>é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pr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ce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existenci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vazby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mezi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velikost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í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pracovn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í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>í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HDP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63A7B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gramEnd"/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obyvatele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Č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esk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é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republice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>í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lem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pr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ce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je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studium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vztahu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mezi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nez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vislou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prom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>ě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nnou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velikost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í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pracovn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í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>í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vislou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prom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>ě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nnou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HDP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63A7B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gramEnd"/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obyvatele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Č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esk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é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republice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od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roku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1990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roku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2017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3A7B" w:rsidRPr="00463A7B">
        <w:rPr>
          <w:rFonts w:ascii="Times New Roman" w:hAnsi="Times New Roman" w:cs="Times New Roman"/>
          <w:sz w:val="24"/>
          <w:szCs w:val="24"/>
          <w:lang w:val="en-US"/>
        </w:rPr>
        <w:t>tak</w:t>
      </w:r>
      <w:r w:rsidR="00463A7B"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é </w:t>
      </w:r>
      <w:r w:rsidR="00463A7B" w:rsidRPr="00463A7B">
        <w:rPr>
          <w:rFonts w:ascii="Times New Roman" w:hAnsi="Times New Roman" w:cs="Times New Roman"/>
          <w:sz w:val="24"/>
          <w:szCs w:val="24"/>
          <w:lang w:val="en-US"/>
        </w:rPr>
        <w:t>snahou</w:t>
      </w:r>
      <w:r w:rsidR="00463A7B"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3A7B" w:rsidRPr="00463A7B">
        <w:rPr>
          <w:rFonts w:ascii="Times New Roman" w:hAnsi="Times New Roman" w:cs="Times New Roman"/>
          <w:sz w:val="24"/>
          <w:szCs w:val="24"/>
          <w:lang w:val="en-US"/>
        </w:rPr>
        <w:t>prok</w:t>
      </w:r>
      <w:r w:rsidR="00463A7B" w:rsidRPr="004D3AB5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="00463A7B" w:rsidRPr="00463A7B">
        <w:rPr>
          <w:rFonts w:ascii="Times New Roman" w:hAnsi="Times New Roman" w:cs="Times New Roman"/>
          <w:sz w:val="24"/>
          <w:szCs w:val="24"/>
          <w:lang w:val="en-US"/>
        </w:rPr>
        <w:t>zat</w:t>
      </w:r>
      <w:r w:rsidR="00463A7B"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3A7B" w:rsidRPr="00463A7B">
        <w:rPr>
          <w:rFonts w:ascii="Times New Roman" w:hAnsi="Times New Roman" w:cs="Times New Roman"/>
          <w:sz w:val="24"/>
          <w:szCs w:val="24"/>
          <w:lang w:val="en-US"/>
        </w:rPr>
        <w:t>hypot</w:t>
      </w:r>
      <w:r w:rsidR="00463A7B" w:rsidRPr="004D3AB5">
        <w:rPr>
          <w:rFonts w:ascii="Times New Roman" w:hAnsi="Times New Roman" w:cs="Times New Roman"/>
          <w:sz w:val="24"/>
          <w:szCs w:val="24"/>
          <w:lang w:val="en-US"/>
        </w:rPr>
        <w:t>é</w:t>
      </w:r>
      <w:r w:rsidR="00463A7B" w:rsidRPr="00463A7B">
        <w:rPr>
          <w:rFonts w:ascii="Times New Roman" w:hAnsi="Times New Roman" w:cs="Times New Roman"/>
          <w:sz w:val="24"/>
          <w:szCs w:val="24"/>
          <w:lang w:val="en-US"/>
        </w:rPr>
        <w:t>zu</w:t>
      </w:r>
      <w:r w:rsidR="00463A7B"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3A7B" w:rsidRPr="00463A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463A7B" w:rsidRPr="004D3AB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>, ž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korelace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mezi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nez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visl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>ý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faktorem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visl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>ý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znakem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je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pozitivn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í. .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>í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sk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í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>ý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sledku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budou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ze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Sv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>ě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tov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é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banky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analyzov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pomoc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í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parn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í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rn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í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regrese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Analyzovan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>ý č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asov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ý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mec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je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>ů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vodu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dostupnosti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dat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nastaven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od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roku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1990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roku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2017,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posledn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í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dostupn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é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jsou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>ý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sledky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>ě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>ý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schopny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zobrazit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aktu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ln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í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vztah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dobu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platnosti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vybran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é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roky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>ě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pokr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>ý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vat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slu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á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obdob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>í). Č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esk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á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republika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byla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vybr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jako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zem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ě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jako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ž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iv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ý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>ří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klad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zem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ě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pozitivn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í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dynamikou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ekonomick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>é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ho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rozvoje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63A7B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ekonomick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é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svobody</w:t>
      </w:r>
      <w:r w:rsidRPr="004D3AB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 xml:space="preserve">Podle ratingu </w:t>
      </w:r>
      <w:r w:rsidR="00463A7B" w:rsidRPr="00463A7B">
        <w:rPr>
          <w:rFonts w:ascii="Times New Roman" w:hAnsi="Times New Roman" w:cs="Times New Roman"/>
          <w:sz w:val="24"/>
          <w:szCs w:val="24"/>
          <w:lang w:val="en-US"/>
        </w:rPr>
        <w:t xml:space="preserve">Heritage Foundation 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je index ekonom</w:t>
      </w:r>
      <w:r w:rsidR="00463A7B" w:rsidRPr="00463A7B">
        <w:rPr>
          <w:rFonts w:ascii="Times New Roman" w:hAnsi="Times New Roman" w:cs="Times New Roman"/>
          <w:sz w:val="24"/>
          <w:szCs w:val="24"/>
          <w:lang w:val="en-US"/>
        </w:rPr>
        <w:t>ické svobody České republiky 73</w:t>
      </w:r>
      <w:proofErr w:type="gramStart"/>
      <w:r w:rsidR="00463A7B" w:rsidRPr="00463A7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>7</w:t>
      </w:r>
      <w:proofErr w:type="gramEnd"/>
      <w:r w:rsidR="00463A7B" w:rsidRPr="00463A7B">
        <w:rPr>
          <w:rFonts w:ascii="Times New Roman" w:hAnsi="Times New Roman" w:cs="Times New Roman"/>
          <w:sz w:val="24"/>
          <w:szCs w:val="24"/>
          <w:lang w:val="en-US"/>
        </w:rPr>
        <w:t>, což činí jeho ekonomiku 23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 xml:space="preserve"> v </w:t>
      </w:r>
      <w:r w:rsidR="00463A7B" w:rsidRPr="00463A7B">
        <w:rPr>
          <w:rFonts w:ascii="Times New Roman" w:hAnsi="Times New Roman" w:cs="Times New Roman"/>
          <w:sz w:val="24"/>
          <w:szCs w:val="24"/>
          <w:lang w:val="en-US"/>
        </w:rPr>
        <w:t>Index 2019, Global Findex</w:t>
      </w:r>
      <w:r w:rsidRPr="00463A7B">
        <w:rPr>
          <w:rFonts w:ascii="Times New Roman" w:hAnsi="Times New Roman" w:cs="Times New Roman"/>
          <w:sz w:val="24"/>
          <w:szCs w:val="24"/>
          <w:lang w:val="en-US"/>
        </w:rPr>
        <w:t xml:space="preserve">. Česká republika se umístila </w:t>
      </w:r>
      <w:proofErr w:type="gramStart"/>
      <w:r w:rsidRPr="00463A7B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gramEnd"/>
      <w:r w:rsidRPr="00463A7B">
        <w:rPr>
          <w:rFonts w:ascii="Times New Roman" w:hAnsi="Times New Roman" w:cs="Times New Roman"/>
          <w:sz w:val="24"/>
          <w:szCs w:val="24"/>
          <w:lang w:val="en-US"/>
        </w:rPr>
        <w:t xml:space="preserve"> 13. </w:t>
      </w:r>
      <w:proofErr w:type="gramStart"/>
      <w:r w:rsidRPr="00463A7B">
        <w:rPr>
          <w:rFonts w:ascii="Times New Roman" w:hAnsi="Times New Roman" w:cs="Times New Roman"/>
          <w:sz w:val="24"/>
          <w:szCs w:val="24"/>
          <w:lang w:val="en-US"/>
        </w:rPr>
        <w:t>místě</w:t>
      </w:r>
      <w:proofErr w:type="gramEnd"/>
      <w:r w:rsidRPr="00463A7B">
        <w:rPr>
          <w:rFonts w:ascii="Times New Roman" w:hAnsi="Times New Roman" w:cs="Times New Roman"/>
          <w:sz w:val="24"/>
          <w:szCs w:val="24"/>
          <w:lang w:val="en-US"/>
        </w:rPr>
        <w:t xml:space="preserve"> mezi 44 zeměmi v evropském regionu a její celkové skóre je nad regionálním a světovým průměrem. (4)</w:t>
      </w:r>
    </w:p>
    <w:p w:rsidR="00B24EBA" w:rsidRDefault="00B24EBA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EBA" w:rsidRDefault="00B24EBA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EBA" w:rsidRDefault="00B24EBA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EBA" w:rsidRDefault="00B24EBA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EBA" w:rsidRPr="00B24EBA" w:rsidRDefault="00B24EBA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24EBA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Teoretická čast</w:t>
      </w:r>
    </w:p>
    <w:p w:rsidR="00B24EBA" w:rsidRDefault="00B24EBA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4EBA" w:rsidRPr="00B24EBA" w:rsidRDefault="00B24EBA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EBA">
        <w:rPr>
          <w:rFonts w:ascii="Times New Roman" w:hAnsi="Times New Roman" w:cs="Times New Roman"/>
          <w:sz w:val="24"/>
          <w:szCs w:val="24"/>
          <w:lang w:val="en-US"/>
        </w:rPr>
        <w:t>„Během období vrcholného hospodářského cyklu, kdy ekonomika zažívá rychlý růst reálného HDP, se zvýší zaměstnanost a nezaměstnanost se bude snižovat s tím, jak podniky budou usilovat o to, aby pracovníci vyráběli vyšší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produkty“ (OECD Insights: human capital</w:t>
      </w:r>
      <w:r w:rsidRPr="00B24EBA">
        <w:rPr>
          <w:rFonts w:ascii="Times New Roman" w:hAnsi="Times New Roman" w:cs="Times New Roman"/>
          <w:sz w:val="24"/>
          <w:szCs w:val="24"/>
          <w:lang w:val="en-US"/>
        </w:rPr>
        <w:t>) (5)</w:t>
      </w:r>
    </w:p>
    <w:p w:rsidR="00B24EBA" w:rsidRPr="00B24EBA" w:rsidRDefault="00B24EBA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EBA">
        <w:rPr>
          <w:rFonts w:ascii="Times New Roman" w:hAnsi="Times New Roman" w:cs="Times New Roman"/>
          <w:sz w:val="24"/>
          <w:szCs w:val="24"/>
          <w:lang w:val="en-US"/>
        </w:rPr>
        <w:t>„Žijeme, abychom mohli pracovat a konzumovat: konzumujeme</w:t>
      </w:r>
      <w:r>
        <w:rPr>
          <w:rFonts w:ascii="Times New Roman" w:hAnsi="Times New Roman" w:cs="Times New Roman"/>
          <w:sz w:val="24"/>
          <w:szCs w:val="24"/>
          <w:lang w:val="en-US"/>
        </w:rPr>
        <w:t>, abychom mohli žít a pracovat“</w:t>
      </w:r>
      <w:r w:rsidRPr="00B24EB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Grainne Ketelaar. Work, employment and society</w:t>
      </w:r>
      <w:r w:rsidRPr="00B24EBA">
        <w:rPr>
          <w:rFonts w:ascii="Times New Roman" w:hAnsi="Times New Roman" w:cs="Times New Roman"/>
          <w:sz w:val="24"/>
          <w:szCs w:val="24"/>
          <w:lang w:val="en-US"/>
        </w:rPr>
        <w:t>) (6)</w:t>
      </w:r>
    </w:p>
    <w:p w:rsidR="00B24EBA" w:rsidRDefault="00B24EBA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EBA">
        <w:rPr>
          <w:rFonts w:ascii="Times New Roman" w:hAnsi="Times New Roman" w:cs="Times New Roman"/>
          <w:sz w:val="24"/>
          <w:szCs w:val="24"/>
          <w:lang w:val="en-US"/>
        </w:rPr>
        <w:t>"Prosperující tržní ekonomika České republiky, vedená automobilovým exportem, má jednu z nejvyšších temp růstu HDP v Evropské unii, jednu z nejnižších měr nezaměstnanosti a r</w:t>
      </w:r>
      <w:r>
        <w:rPr>
          <w:rFonts w:ascii="Times New Roman" w:hAnsi="Times New Roman" w:cs="Times New Roman"/>
          <w:sz w:val="24"/>
          <w:szCs w:val="24"/>
          <w:lang w:val="en-US"/>
        </w:rPr>
        <w:t>ostoucí životní úroveň." (Global Findex</w:t>
      </w:r>
      <w:r w:rsidRPr="00B24EBA">
        <w:rPr>
          <w:rFonts w:ascii="Times New Roman" w:hAnsi="Times New Roman" w:cs="Times New Roman"/>
          <w:sz w:val="24"/>
          <w:szCs w:val="24"/>
          <w:lang w:val="en-US"/>
        </w:rPr>
        <w:t>) (4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24EBA" w:rsidRDefault="00B24EBA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4EBA" w:rsidRDefault="0000577A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577A">
        <w:rPr>
          <w:rFonts w:ascii="Times New Roman" w:hAnsi="Times New Roman" w:cs="Times New Roman"/>
          <w:sz w:val="24"/>
          <w:szCs w:val="24"/>
          <w:lang w:val="en-US"/>
        </w:rPr>
        <w:t>Česká republika se nachází v srdci Evropy a hraničí s Německem, Polskem, Rakouskem a Slovensk</w:t>
      </w:r>
      <w:r w:rsidR="00575A29">
        <w:rPr>
          <w:rFonts w:ascii="Times New Roman" w:hAnsi="Times New Roman" w:cs="Times New Roman"/>
          <w:sz w:val="24"/>
          <w:szCs w:val="24"/>
          <w:lang w:val="en-US"/>
        </w:rPr>
        <w:t>em. Území republiky má téměř 79</w:t>
      </w:r>
      <w:r w:rsidRPr="0000577A">
        <w:rPr>
          <w:rFonts w:ascii="Times New Roman" w:hAnsi="Times New Roman" w:cs="Times New Roman"/>
          <w:sz w:val="24"/>
          <w:szCs w:val="24"/>
          <w:lang w:val="en-US"/>
        </w:rPr>
        <w:t xml:space="preserve">000 metrů čtverečních a spojuje historické oblasti Čech, Moravy a Slezska. Pohodlná geografická poloha umožňuje přístup jak </w:t>
      </w:r>
      <w:proofErr w:type="gramStart"/>
      <w:r w:rsidRPr="0000577A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gramEnd"/>
      <w:r w:rsidRPr="0000577A">
        <w:rPr>
          <w:rFonts w:ascii="Times New Roman" w:hAnsi="Times New Roman" w:cs="Times New Roman"/>
          <w:sz w:val="24"/>
          <w:szCs w:val="24"/>
          <w:lang w:val="en-US"/>
        </w:rPr>
        <w:t xml:space="preserve"> trhy EU, tak na východní trhy, vysoký kvalifikační potenciál a relativně nízké náklady práce a systém pobídek pro zahraniční investory vytváří příznivé investiční prostředí. Česká republika zaujímá 1. </w:t>
      </w:r>
      <w:proofErr w:type="gramStart"/>
      <w:r w:rsidRPr="0000577A">
        <w:rPr>
          <w:rFonts w:ascii="Times New Roman" w:hAnsi="Times New Roman" w:cs="Times New Roman"/>
          <w:sz w:val="24"/>
          <w:szCs w:val="24"/>
          <w:lang w:val="en-US"/>
        </w:rPr>
        <w:t>místo</w:t>
      </w:r>
      <w:proofErr w:type="gramEnd"/>
      <w:r w:rsidRPr="0000577A">
        <w:rPr>
          <w:rFonts w:ascii="Times New Roman" w:hAnsi="Times New Roman" w:cs="Times New Roman"/>
          <w:sz w:val="24"/>
          <w:szCs w:val="24"/>
          <w:lang w:val="en-US"/>
        </w:rPr>
        <w:t xml:space="preserve"> v regionu zemí střední a východní Evropy z hlediska přímých zahraničních investic na obyvatele - 2244 USD. Rozdělení přímých zahraničních investic podle sektorů hospodářství: sektor služeb 60%, zpracovatelský průmysl 38%, těžební průmysl, zemědělství a lesnictví 2% z celkových zahraničních investic. Převážná částka přímých zahraničních investic v České republice pochází z EU - 84%. (7) Nárůst investic do ekonomického rozvoje země dává podnět k rozvoji výroby </w:t>
      </w:r>
      <w:proofErr w:type="gramStart"/>
      <w:r w:rsidRPr="0000577A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00577A">
        <w:rPr>
          <w:rFonts w:ascii="Times New Roman" w:hAnsi="Times New Roman" w:cs="Times New Roman"/>
          <w:sz w:val="24"/>
          <w:szCs w:val="24"/>
          <w:lang w:val="en-US"/>
        </w:rPr>
        <w:t xml:space="preserve"> růstu HDP. Je známo, že ukazatel HDP přímo závisí </w:t>
      </w:r>
      <w:proofErr w:type="gramStart"/>
      <w:r w:rsidRPr="0000577A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gramEnd"/>
      <w:r w:rsidRPr="0000577A">
        <w:rPr>
          <w:rFonts w:ascii="Times New Roman" w:hAnsi="Times New Roman" w:cs="Times New Roman"/>
          <w:sz w:val="24"/>
          <w:szCs w:val="24"/>
          <w:lang w:val="en-US"/>
        </w:rPr>
        <w:t xml:space="preserve"> úrovni nabídky a poptávky na trhu se zbožím a službami. Nárůst poptávky po zboží a službách proto vede ke zvýšení HDP. Zvýšení poptávky musí být doprovázeno zvýšením produkce, a tedy i velikostí pracovní síly, aby byla tato výroba zajištěna. Z ekonomického hlediska vyjadřuje úroveň zaměstnanosti obyvatelstva v produktivním věku </w:t>
      </w:r>
      <w:proofErr w:type="gramStart"/>
      <w:r w:rsidRPr="0000577A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gramEnd"/>
      <w:r w:rsidRPr="0000577A">
        <w:rPr>
          <w:rFonts w:ascii="Times New Roman" w:hAnsi="Times New Roman" w:cs="Times New Roman"/>
          <w:sz w:val="24"/>
          <w:szCs w:val="24"/>
          <w:lang w:val="en-US"/>
        </w:rPr>
        <w:t xml:space="preserve"> jedné straně potřebu sociální ekonomiky pro pracovníky a na druhé straně potřebu pracovních míst obyvatelstva (8)</w:t>
      </w:r>
    </w:p>
    <w:p w:rsidR="0000577A" w:rsidRPr="0000577A" w:rsidRDefault="0000577A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577A">
        <w:rPr>
          <w:rFonts w:ascii="Times New Roman" w:hAnsi="Times New Roman" w:cs="Times New Roman"/>
          <w:sz w:val="24"/>
          <w:szCs w:val="24"/>
          <w:lang w:val="en-US"/>
        </w:rPr>
        <w:t xml:space="preserve">Zároveň se zvyšuje úroveň vzdělání, odborná příprava a tím i kvalita pracovní síly. (1) Z analýzy výdajové strany rozpočtu České republiky vyplývá, že vláda pokračuje ve zvyšování svých ročních vládních výdajů s přihlédnutím k pozitivním trendům ve vývoji národního hospodářství a výraznému nárůstu daňových výběrů. Současně bylo hlavní úsilí při tvorbě rozpočtu pro tento rok zaměřeno </w:t>
      </w:r>
      <w:proofErr w:type="gramStart"/>
      <w:r w:rsidRPr="0000577A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gramEnd"/>
      <w:r w:rsidRPr="0000577A">
        <w:rPr>
          <w:rFonts w:ascii="Times New Roman" w:hAnsi="Times New Roman" w:cs="Times New Roman"/>
          <w:sz w:val="24"/>
          <w:szCs w:val="24"/>
          <w:lang w:val="en-US"/>
        </w:rPr>
        <w:t xml:space="preserve"> podporu dalšího ekonomického růstu země, snížení nezaměstnanosti, řešení sociálních problémů a zlepšení kvality života občanů. (7)</w:t>
      </w:r>
    </w:p>
    <w:p w:rsidR="0000577A" w:rsidRDefault="0000577A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577A">
        <w:rPr>
          <w:rFonts w:ascii="Times New Roman" w:hAnsi="Times New Roman" w:cs="Times New Roman"/>
          <w:sz w:val="24"/>
          <w:szCs w:val="24"/>
          <w:lang w:val="en-US"/>
        </w:rPr>
        <w:t>Podle Českého statistického úřadu se míra nezaměstnanosti snížila z 6</w:t>
      </w:r>
      <w:proofErr w:type="gramStart"/>
      <w:r w:rsidRPr="0000577A">
        <w:rPr>
          <w:rFonts w:ascii="Times New Roman" w:hAnsi="Times New Roman" w:cs="Times New Roman"/>
          <w:sz w:val="24"/>
          <w:szCs w:val="24"/>
          <w:lang w:val="en-US"/>
        </w:rPr>
        <w:t>,59</w:t>
      </w:r>
      <w:proofErr w:type="gramEnd"/>
      <w:r w:rsidRPr="0000577A">
        <w:rPr>
          <w:rFonts w:ascii="Times New Roman" w:hAnsi="Times New Roman" w:cs="Times New Roman"/>
          <w:sz w:val="24"/>
          <w:szCs w:val="24"/>
          <w:lang w:val="en-US"/>
        </w:rPr>
        <w:t xml:space="preserve">% v roce 2005 na 3,77% v roce 2017, tj. poklesl o 56,1%, zatímco HDP na obyvatele (současná sazba USD) </w:t>
      </w:r>
      <w:r w:rsidRPr="0000577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vzrostl z 13346,176 USD v roce 2005 na 20368,139 USD v roce 2017, tj. </w:t>
      </w:r>
      <w:proofErr w:type="gramStart"/>
      <w:r w:rsidRPr="0000577A">
        <w:rPr>
          <w:rFonts w:ascii="Times New Roman" w:hAnsi="Times New Roman" w:cs="Times New Roman"/>
          <w:sz w:val="24"/>
          <w:szCs w:val="24"/>
          <w:lang w:val="en-US"/>
        </w:rPr>
        <w:t>vzrostla</w:t>
      </w:r>
      <w:proofErr w:type="gramEnd"/>
      <w:r w:rsidRPr="0000577A">
        <w:rPr>
          <w:rFonts w:ascii="Times New Roman" w:hAnsi="Times New Roman" w:cs="Times New Roman"/>
          <w:sz w:val="24"/>
          <w:szCs w:val="24"/>
          <w:lang w:val="en-US"/>
        </w:rPr>
        <w:t xml:space="preserve"> o 52,6%. Podle Eurostatu se nezaměstnanost v České republice snížila z 4,1% v roce 1998 na 1,9% v roce 2017, HDP s paritou kupní síly na obyvatele (při konstantní hodnotě 2011, $) vzrostl z roku 1996 na 961 961 USD v roce 1998 až do výše 32665 906 USD v roce 2017.</w:t>
      </w:r>
    </w:p>
    <w:p w:rsidR="00D45B60" w:rsidRDefault="00D45B60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51B2E" w:rsidRDefault="00130E23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30E23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40425" cy="2312254"/>
            <wp:effectExtent l="19050" t="0" r="22225" b="0"/>
            <wp:docPr id="7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30E23" w:rsidRPr="00130E23" w:rsidRDefault="00130E23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30E23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40425" cy="2219107"/>
            <wp:effectExtent l="19050" t="0" r="22225" b="0"/>
            <wp:docPr id="8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45B60" w:rsidRDefault="00D45B60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51B2E" w:rsidRDefault="00051B2E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5B60">
        <w:rPr>
          <w:rFonts w:ascii="Times New Roman" w:hAnsi="Times New Roman" w:cs="Times New Roman"/>
          <w:sz w:val="24"/>
          <w:szCs w:val="24"/>
          <w:lang w:val="en-US"/>
        </w:rPr>
        <w:t xml:space="preserve">Díky cílené státní podpoře českých exportérů byla v roce 2007 podepsána celá řada zakázek </w:t>
      </w:r>
      <w:proofErr w:type="gramStart"/>
      <w:r w:rsidRPr="00D45B60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gramEnd"/>
      <w:r w:rsidRPr="00D45B60">
        <w:rPr>
          <w:rFonts w:ascii="Times New Roman" w:hAnsi="Times New Roman" w:cs="Times New Roman"/>
          <w:sz w:val="24"/>
          <w:szCs w:val="24"/>
          <w:lang w:val="en-US"/>
        </w:rPr>
        <w:t xml:space="preserve"> dodávku kompletního českého vybavení. </w:t>
      </w:r>
      <w:r w:rsidRPr="001321FC">
        <w:rPr>
          <w:rFonts w:ascii="Times New Roman" w:hAnsi="Times New Roman" w:cs="Times New Roman"/>
          <w:sz w:val="24"/>
          <w:szCs w:val="24"/>
          <w:lang w:val="en-US"/>
        </w:rPr>
        <w:t xml:space="preserve">Největší z nich jsou: smlouva společnosti Inekon Group na výstavbu dvou cementáren na klíč v Iráku ve výši 390 milionů dolarů; smlouva na dodávku energetického zařízení do Turecka na rekonstrukci tepelné elektrárny </w:t>
      </w:r>
      <w:r>
        <w:rPr>
          <w:rFonts w:ascii="Times New Roman" w:hAnsi="Times New Roman" w:cs="Times New Roman"/>
          <w:sz w:val="24"/>
          <w:szCs w:val="24"/>
          <w:lang w:val="en-US"/>
        </w:rPr>
        <w:t>Soma</w:t>
      </w:r>
      <w:r w:rsidRPr="001321FC">
        <w:rPr>
          <w:rFonts w:ascii="Times New Roman" w:hAnsi="Times New Roman" w:cs="Times New Roman"/>
          <w:sz w:val="24"/>
          <w:szCs w:val="24"/>
          <w:lang w:val="en-US"/>
        </w:rPr>
        <w:t xml:space="preserve"> ve výši cca 400 milionů dolarů; smlouva o dodávce zařízení pro pivovar do Vietnamu společností ZVU, Hradec Králové, ve výši cca 11 milionů dolarů. </w:t>
      </w:r>
      <w:r>
        <w:rPr>
          <w:rFonts w:ascii="Times New Roman" w:hAnsi="Times New Roman" w:cs="Times New Roman"/>
          <w:sz w:val="24"/>
          <w:szCs w:val="24"/>
          <w:lang w:val="ru-RU"/>
        </w:rPr>
        <w:t>(7)</w:t>
      </w:r>
    </w:p>
    <w:p w:rsidR="00F06DD3" w:rsidRDefault="00F06DD3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6DD3">
        <w:rPr>
          <w:rFonts w:ascii="Times New Roman" w:hAnsi="Times New Roman" w:cs="Times New Roman"/>
          <w:sz w:val="24"/>
          <w:szCs w:val="24"/>
          <w:lang w:val="en-US"/>
        </w:rPr>
        <w:t xml:space="preserve">Rostoucí obrat výroby pro export zase svědčí o příznivé atmosféře pro zvýšení počtu zaměstnaných obyvatel. V odvětvové struktuře ekonomiky České republiky je tendence zvyšovat podíl služeb </w:t>
      </w:r>
      <w:proofErr w:type="gramStart"/>
      <w:r w:rsidRPr="00F06DD3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gramEnd"/>
      <w:r w:rsidRPr="00F06DD3">
        <w:rPr>
          <w:rFonts w:ascii="Times New Roman" w:hAnsi="Times New Roman" w:cs="Times New Roman"/>
          <w:sz w:val="24"/>
          <w:szCs w:val="24"/>
          <w:lang w:val="en-US"/>
        </w:rPr>
        <w:t xml:space="preserve"> HDP v důsledku snížení podílu primárního sektoru (zemědělství, těžba) a sekundárního sektoru (průmysl a stavebnictví). Ve struktuře HDP se podílel průmysl - 32,9%, stavebnictví - 7,1%, obchod a hotelové služby - 16,3%, doprava a spoje - 7,4%, peněžní a </w:t>
      </w:r>
      <w:r w:rsidRPr="00F06DD3">
        <w:rPr>
          <w:rFonts w:ascii="Times New Roman" w:hAnsi="Times New Roman" w:cs="Times New Roman"/>
          <w:sz w:val="24"/>
          <w:szCs w:val="24"/>
          <w:lang w:val="en-US"/>
        </w:rPr>
        <w:lastRenderedPageBreak/>
        <w:t>pojišťovací služby - 4,3%, ostatní tržní služby - 13,1%, netrhové služby - 16,0%. Důležitým místem v ekonomice země je malý a střední podnikatelský sektor, který zaměstnává 60% pracovních sil a vytváří 53% HDP (47% ve zpracovatelském průmyslu). „Podniky mohou být vytvořeny a řízeny bez byrokratické intervence a minimální kapitál není vyžadován. Nedávné reformy snížily náklady a počet postupů potřebných k založení společnosti. Trh práce je relativně flexibilní a míra nez</w:t>
      </w:r>
      <w:r>
        <w:rPr>
          <w:rFonts w:ascii="Times New Roman" w:hAnsi="Times New Roman" w:cs="Times New Roman"/>
          <w:sz w:val="24"/>
          <w:szCs w:val="24"/>
          <w:lang w:val="en-US"/>
        </w:rPr>
        <w:t>aměstnanosti nadále klesá “(Index</w:t>
      </w:r>
      <w:r w:rsidRPr="00F06DD3">
        <w:rPr>
          <w:rFonts w:ascii="Times New Roman" w:hAnsi="Times New Roman" w:cs="Times New Roman"/>
          <w:sz w:val="24"/>
          <w:szCs w:val="24"/>
          <w:lang w:val="en-US"/>
        </w:rPr>
        <w:t xml:space="preserve"> 2019). V průmyslu, kde je zaměstnáno zhruba 1/3 počtu pracujících v národním hospodářství, je vytvořeno 36</w:t>
      </w:r>
      <w:proofErr w:type="gramStart"/>
      <w:r w:rsidRPr="00F06DD3">
        <w:rPr>
          <w:rFonts w:ascii="Times New Roman" w:hAnsi="Times New Roman" w:cs="Times New Roman"/>
          <w:sz w:val="24"/>
          <w:szCs w:val="24"/>
          <w:lang w:val="en-US"/>
        </w:rPr>
        <w:t>,6</w:t>
      </w:r>
      <w:proofErr w:type="gramEnd"/>
      <w:r w:rsidRPr="00F06DD3">
        <w:rPr>
          <w:rFonts w:ascii="Times New Roman" w:hAnsi="Times New Roman" w:cs="Times New Roman"/>
          <w:sz w:val="24"/>
          <w:szCs w:val="24"/>
          <w:lang w:val="en-US"/>
        </w:rPr>
        <w:t xml:space="preserve">% hrubé přidané hodnoty. Prioritou je rozvoj elektrotechnického, automobilového a strojírenského průmyslu. Inflace se snížila z 36,19% v roce 1991 na 1,304% v roce 2017. (Eurostat, 2019) Růst </w:t>
      </w:r>
      <w:proofErr w:type="gramStart"/>
      <w:r w:rsidRPr="00F06DD3">
        <w:rPr>
          <w:rFonts w:ascii="Times New Roman" w:hAnsi="Times New Roman" w:cs="Times New Roman"/>
          <w:sz w:val="24"/>
          <w:szCs w:val="24"/>
          <w:lang w:val="en-US"/>
        </w:rPr>
        <w:t>měl</w:t>
      </w:r>
      <w:proofErr w:type="gramEnd"/>
      <w:r w:rsidRPr="00F06DD3">
        <w:rPr>
          <w:rFonts w:ascii="Times New Roman" w:hAnsi="Times New Roman" w:cs="Times New Roman"/>
          <w:sz w:val="24"/>
          <w:szCs w:val="24"/>
          <w:lang w:val="en-US"/>
        </w:rPr>
        <w:t xml:space="preserve"> pozitivní vliv na trh práce. Zaměstnanost v posledním čtvrtletí roku 2016 dosáhla úrovně 72</w:t>
      </w:r>
      <w:proofErr w:type="gramStart"/>
      <w:r w:rsidRPr="00F06DD3">
        <w:rPr>
          <w:rFonts w:ascii="Times New Roman" w:hAnsi="Times New Roman" w:cs="Times New Roman"/>
          <w:sz w:val="24"/>
          <w:szCs w:val="24"/>
          <w:lang w:val="en-US"/>
        </w:rPr>
        <w:t>,9</w:t>
      </w:r>
      <w:proofErr w:type="gramEnd"/>
      <w:r w:rsidRPr="00F06DD3">
        <w:rPr>
          <w:rFonts w:ascii="Times New Roman" w:hAnsi="Times New Roman" w:cs="Times New Roman"/>
          <w:sz w:val="24"/>
          <w:szCs w:val="24"/>
          <w:lang w:val="en-US"/>
        </w:rPr>
        <w:t xml:space="preserve">% a byla o 4,2% vyšší než v roce 2008. Podle odhadů CSU je růst tohoto ukazatele nejdynamičtější mezi zeměmi EU. Ke konci sledovaného roku 2017 dostalo 5 </w:t>
      </w:r>
      <w:proofErr w:type="gramStart"/>
      <w:r w:rsidRPr="00F06DD3">
        <w:rPr>
          <w:rFonts w:ascii="Times New Roman" w:hAnsi="Times New Roman" w:cs="Times New Roman"/>
          <w:sz w:val="24"/>
          <w:szCs w:val="24"/>
          <w:lang w:val="en-US"/>
        </w:rPr>
        <w:t>371 milionů</w:t>
      </w:r>
      <w:proofErr w:type="gramEnd"/>
      <w:r w:rsidRPr="00F06DD3">
        <w:rPr>
          <w:rFonts w:ascii="Times New Roman" w:hAnsi="Times New Roman" w:cs="Times New Roman"/>
          <w:sz w:val="24"/>
          <w:szCs w:val="24"/>
          <w:lang w:val="en-US"/>
        </w:rPr>
        <w:t xml:space="preserve"> lidí pracovní místa. Vývoj výroby ukládá požadavky </w:t>
      </w:r>
      <w:proofErr w:type="gramStart"/>
      <w:r w:rsidRPr="00F06DD3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gramEnd"/>
      <w:r w:rsidRPr="00F06DD3">
        <w:rPr>
          <w:rFonts w:ascii="Times New Roman" w:hAnsi="Times New Roman" w:cs="Times New Roman"/>
          <w:sz w:val="24"/>
          <w:szCs w:val="24"/>
          <w:lang w:val="en-US"/>
        </w:rPr>
        <w:t xml:space="preserve"> kvalifikaci pracovní síly. Podle Eurostatu činil počet zaměstnaných osob se vzděláním (od základního po vyšší) v roce 2007 79</w:t>
      </w:r>
      <w:proofErr w:type="gramStart"/>
      <w:r w:rsidRPr="00F06DD3">
        <w:rPr>
          <w:rFonts w:ascii="Times New Roman" w:hAnsi="Times New Roman" w:cs="Times New Roman"/>
          <w:sz w:val="24"/>
          <w:szCs w:val="24"/>
          <w:lang w:val="en-US"/>
        </w:rPr>
        <w:t>,3</w:t>
      </w:r>
      <w:proofErr w:type="gramEnd"/>
      <w:r w:rsidRPr="00F06DD3">
        <w:rPr>
          <w:rFonts w:ascii="Times New Roman" w:hAnsi="Times New Roman" w:cs="Times New Roman"/>
          <w:sz w:val="24"/>
          <w:szCs w:val="24"/>
          <w:lang w:val="en-US"/>
        </w:rPr>
        <w:t>% av roce 2016 - 95,3%. Počet zaměstnanců se vzděláním v ekonomickém procesu vzrostl o 16%. Počet kvalifikovaných odborníků s vysokoškolským vzděláním od roku 2007 do roku 2016 vzrostl o 2,1násobek</w:t>
      </w:r>
      <w:r w:rsidR="001321FC">
        <w:rPr>
          <w:rFonts w:ascii="Times New Roman" w:hAnsi="Times New Roman" w:cs="Times New Roman"/>
          <w:sz w:val="24"/>
          <w:szCs w:val="24"/>
          <w:lang w:val="en-US"/>
        </w:rPr>
        <w:t>, tj. o</w:t>
      </w:r>
      <w:r w:rsidRPr="00F06DD3">
        <w:rPr>
          <w:rFonts w:ascii="Times New Roman" w:hAnsi="Times New Roman" w:cs="Times New Roman"/>
          <w:sz w:val="24"/>
          <w:szCs w:val="24"/>
          <w:lang w:val="en-US"/>
        </w:rPr>
        <w:t xml:space="preserve"> 110% (9).</w:t>
      </w:r>
    </w:p>
    <w:p w:rsidR="00D45B60" w:rsidRDefault="00D45B60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70217" w:rsidRDefault="00130E23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0E23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40425" cy="2034181"/>
            <wp:effectExtent l="19050" t="0" r="22225" b="4169"/>
            <wp:docPr id="9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45B60" w:rsidRDefault="00D45B60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B70217" w:rsidRDefault="00B70217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B70217">
        <w:rPr>
          <w:rFonts w:ascii="Times New Roman" w:hAnsi="Times New Roman" w:cs="Times New Roman"/>
          <w:sz w:val="24"/>
          <w:szCs w:val="24"/>
          <w:lang w:val="cs-CZ"/>
        </w:rPr>
        <w:t>Ve svém</w:t>
      </w:r>
      <w:r w:rsidR="00000A73">
        <w:rPr>
          <w:rFonts w:ascii="Times New Roman" w:hAnsi="Times New Roman" w:cs="Times New Roman"/>
          <w:sz w:val="24"/>
          <w:szCs w:val="24"/>
          <w:lang w:val="cs-CZ"/>
        </w:rPr>
        <w:t xml:space="preserve"> článku, ekonomové </w:t>
      </w:r>
      <w:r w:rsidR="00000A73" w:rsidRPr="00D45B60">
        <w:rPr>
          <w:rFonts w:ascii="Times New Roman" w:hAnsi="Times New Roman" w:cs="Times New Roman"/>
          <w:sz w:val="24"/>
          <w:szCs w:val="24"/>
          <w:lang w:val="cs-CZ"/>
        </w:rPr>
        <w:t>Nazneen</w:t>
      </w:r>
      <w:r w:rsidR="00130E23" w:rsidRPr="00D45B6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000A73" w:rsidRPr="00D45B60">
        <w:rPr>
          <w:rFonts w:ascii="Times New Roman" w:hAnsi="Times New Roman" w:cs="Times New Roman"/>
          <w:sz w:val="24"/>
          <w:szCs w:val="24"/>
          <w:lang w:val="cs-CZ"/>
        </w:rPr>
        <w:t>Ahmada</w:t>
      </w:r>
      <w:r w:rsidR="00130E23" w:rsidRPr="00D45B60">
        <w:rPr>
          <w:rFonts w:ascii="Times New Roman" w:hAnsi="Times New Roman" w:cs="Times New Roman"/>
          <w:sz w:val="24"/>
          <w:szCs w:val="24"/>
          <w:lang w:val="cs-CZ"/>
        </w:rPr>
        <w:t xml:space="preserve"> а </w:t>
      </w:r>
      <w:r w:rsidR="00000A73" w:rsidRPr="00D45B60">
        <w:rPr>
          <w:rFonts w:ascii="Times New Roman" w:hAnsi="Times New Roman" w:cs="Times New Roman"/>
          <w:sz w:val="24"/>
          <w:szCs w:val="24"/>
          <w:lang w:val="cs-CZ"/>
        </w:rPr>
        <w:t>Josef</w:t>
      </w:r>
      <w:r w:rsidR="00130E23" w:rsidRPr="00D45B6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000A73" w:rsidRPr="00D45B60">
        <w:rPr>
          <w:rFonts w:ascii="Times New Roman" w:hAnsi="Times New Roman" w:cs="Times New Roman"/>
          <w:sz w:val="24"/>
          <w:szCs w:val="24"/>
          <w:lang w:val="cs-CZ"/>
        </w:rPr>
        <w:t>J. French</w:t>
      </w:r>
      <w:r w:rsidR="00130E23" w:rsidRPr="00D45B6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000A73">
        <w:rPr>
          <w:rFonts w:ascii="Times New Roman" w:hAnsi="Times New Roman" w:cs="Times New Roman"/>
          <w:sz w:val="24"/>
          <w:szCs w:val="24"/>
          <w:lang w:val="cs-CZ"/>
        </w:rPr>
        <w:t>n</w:t>
      </w:r>
      <w:r w:rsidRPr="00B70217">
        <w:rPr>
          <w:rFonts w:ascii="Times New Roman" w:hAnsi="Times New Roman" w:cs="Times New Roman"/>
          <w:sz w:val="24"/>
          <w:szCs w:val="24"/>
          <w:lang w:val="cs-CZ"/>
        </w:rPr>
        <w:t>a příkladu analýzy</w:t>
      </w:r>
      <w:r w:rsidR="00000A73">
        <w:rPr>
          <w:rFonts w:ascii="Times New Roman" w:hAnsi="Times New Roman" w:cs="Times New Roman"/>
          <w:sz w:val="24"/>
          <w:szCs w:val="24"/>
          <w:lang w:val="cs-CZ"/>
        </w:rPr>
        <w:t xml:space="preserve"> rozvíjejícího se Bangladéše vyjádřili</w:t>
      </w:r>
      <w:r w:rsidRPr="00B70217">
        <w:rPr>
          <w:rFonts w:ascii="Times New Roman" w:hAnsi="Times New Roman" w:cs="Times New Roman"/>
          <w:sz w:val="24"/>
          <w:szCs w:val="24"/>
          <w:lang w:val="cs-CZ"/>
        </w:rPr>
        <w:t xml:space="preserve"> následující stanovisko: „Hlavními faktory růstu HDP jsou zapojení dodatečných zdrojů do výroby, především dalšího fyzického kapitálu a práce, jakož i zvýšení produktivity výrobních faktorů. pokroku, využití produktivnějších technologií a pokročilého vzdělávání pracovníků “(10) Růst úrovně vzdělání pracovn</w:t>
      </w:r>
      <w:r w:rsidR="00000A73">
        <w:rPr>
          <w:rFonts w:ascii="Times New Roman" w:hAnsi="Times New Roman" w:cs="Times New Roman"/>
          <w:sz w:val="24"/>
          <w:szCs w:val="24"/>
          <w:lang w:val="cs-CZ"/>
        </w:rPr>
        <w:t>í síly v ČR při prokazování p</w:t>
      </w:r>
      <w:r w:rsidRPr="00B70217">
        <w:rPr>
          <w:rFonts w:ascii="Times New Roman" w:hAnsi="Times New Roman" w:cs="Times New Roman"/>
          <w:sz w:val="24"/>
          <w:szCs w:val="24"/>
          <w:lang w:val="cs-CZ"/>
        </w:rPr>
        <w:t>ozitivní</w:t>
      </w:r>
      <w:r w:rsidR="00000A73">
        <w:rPr>
          <w:rFonts w:ascii="Times New Roman" w:hAnsi="Times New Roman" w:cs="Times New Roman"/>
          <w:sz w:val="24"/>
          <w:szCs w:val="24"/>
          <w:lang w:val="cs-CZ"/>
        </w:rPr>
        <w:t>ho</w:t>
      </w:r>
      <w:r w:rsidRPr="00B70217">
        <w:rPr>
          <w:rFonts w:ascii="Times New Roman" w:hAnsi="Times New Roman" w:cs="Times New Roman"/>
          <w:sz w:val="24"/>
          <w:szCs w:val="24"/>
          <w:lang w:val="cs-CZ"/>
        </w:rPr>
        <w:t xml:space="preserve"> růst</w:t>
      </w:r>
      <w:r w:rsidR="00000A73">
        <w:rPr>
          <w:rFonts w:ascii="Times New Roman" w:hAnsi="Times New Roman" w:cs="Times New Roman"/>
          <w:sz w:val="24"/>
          <w:szCs w:val="24"/>
          <w:lang w:val="cs-CZ"/>
        </w:rPr>
        <w:t>u</w:t>
      </w:r>
      <w:r w:rsidRPr="00B70217">
        <w:rPr>
          <w:rFonts w:ascii="Times New Roman" w:hAnsi="Times New Roman" w:cs="Times New Roman"/>
          <w:sz w:val="24"/>
          <w:szCs w:val="24"/>
          <w:lang w:val="cs-CZ"/>
        </w:rPr>
        <w:t xml:space="preserve"> HDP v posledních letech byl jedním z faktorů zapojení většího počtu osob zaměstnaných ve výrobním procesu. A. Smith ve své knize </w:t>
      </w:r>
      <w:r w:rsidR="00B219C7">
        <w:rPr>
          <w:rFonts w:ascii="Times New Roman" w:hAnsi="Times New Roman" w:cs="Times New Roman"/>
          <w:sz w:val="24"/>
          <w:szCs w:val="24"/>
          <w:lang w:val="cs-CZ"/>
        </w:rPr>
        <w:t>„</w:t>
      </w:r>
      <w:r w:rsidRPr="00B70217">
        <w:rPr>
          <w:rFonts w:ascii="Times New Roman" w:hAnsi="Times New Roman" w:cs="Times New Roman"/>
          <w:sz w:val="24"/>
          <w:szCs w:val="24"/>
          <w:lang w:val="cs-CZ"/>
        </w:rPr>
        <w:t>Vyšetřování přírody a příčin bohatství národů</w:t>
      </w:r>
      <w:r w:rsidR="00B219C7">
        <w:rPr>
          <w:rFonts w:ascii="Times New Roman" w:hAnsi="Times New Roman" w:cs="Times New Roman"/>
          <w:sz w:val="24"/>
          <w:szCs w:val="24"/>
          <w:lang w:val="cs-CZ"/>
        </w:rPr>
        <w:t>“</w:t>
      </w:r>
      <w:r w:rsidRPr="00B70217">
        <w:rPr>
          <w:rFonts w:ascii="Times New Roman" w:hAnsi="Times New Roman" w:cs="Times New Roman"/>
          <w:sz w:val="24"/>
          <w:szCs w:val="24"/>
          <w:lang w:val="cs-CZ"/>
        </w:rPr>
        <w:t xml:space="preserve"> (1776) vyjádřil názor, že vzdělávání je formou investice, která by měla </w:t>
      </w:r>
      <w:r w:rsidRPr="00B70217">
        <w:rPr>
          <w:rFonts w:ascii="Times New Roman" w:hAnsi="Times New Roman" w:cs="Times New Roman"/>
          <w:sz w:val="24"/>
          <w:szCs w:val="24"/>
          <w:lang w:val="cs-CZ"/>
        </w:rPr>
        <w:lastRenderedPageBreak/>
        <w:t>přinést individuální návratnost, která by přesahovala náklady na vzdělávání a čas na školení. Výzkum týkající se vztahu mezi lidským kapitálem a hospodářským růstem na</w:t>
      </w:r>
      <w:r w:rsidR="00B219C7">
        <w:rPr>
          <w:rFonts w:ascii="Times New Roman" w:hAnsi="Times New Roman" w:cs="Times New Roman"/>
          <w:sz w:val="24"/>
          <w:szCs w:val="24"/>
          <w:lang w:val="cs-CZ"/>
        </w:rPr>
        <w:t xml:space="preserve"> příkladu Rakouska, Silvie Chudá</w:t>
      </w:r>
      <w:r w:rsidRPr="00B70217">
        <w:rPr>
          <w:rFonts w:ascii="Times New Roman" w:hAnsi="Times New Roman" w:cs="Times New Roman"/>
          <w:sz w:val="24"/>
          <w:szCs w:val="24"/>
          <w:lang w:val="cs-CZ"/>
        </w:rPr>
        <w:t>rkov</w:t>
      </w:r>
      <w:r w:rsidR="00B219C7">
        <w:rPr>
          <w:rFonts w:ascii="Times New Roman" w:hAnsi="Times New Roman" w:cs="Times New Roman"/>
          <w:sz w:val="24"/>
          <w:szCs w:val="24"/>
          <w:lang w:val="cs-CZ"/>
        </w:rPr>
        <w:t>é a Tomášu V</w:t>
      </w:r>
      <w:r w:rsidRPr="00B70217">
        <w:rPr>
          <w:rFonts w:ascii="Times New Roman" w:hAnsi="Times New Roman" w:cs="Times New Roman"/>
          <w:sz w:val="24"/>
          <w:szCs w:val="24"/>
          <w:lang w:val="cs-CZ"/>
        </w:rPr>
        <w:t>erner</w:t>
      </w:r>
      <w:r w:rsidR="00B219C7">
        <w:rPr>
          <w:rFonts w:ascii="Times New Roman" w:hAnsi="Times New Roman" w:cs="Times New Roman"/>
          <w:sz w:val="24"/>
          <w:szCs w:val="24"/>
          <w:lang w:val="cs-CZ"/>
        </w:rPr>
        <w:t>u</w:t>
      </w:r>
      <w:r w:rsidRPr="00B70217">
        <w:rPr>
          <w:rFonts w:ascii="Times New Roman" w:hAnsi="Times New Roman" w:cs="Times New Roman"/>
          <w:sz w:val="24"/>
          <w:szCs w:val="24"/>
          <w:lang w:val="cs-CZ"/>
        </w:rPr>
        <w:t xml:space="preserve"> souhlasí s klasickými ekonomy: „Každý se snaží optimalizovat návratnost svých investic do vzdělávání a bude se i nadále učit, dokud příjmy z jeho</w:t>
      </w:r>
      <w:r w:rsidR="00B219C7">
        <w:rPr>
          <w:rFonts w:ascii="Times New Roman" w:hAnsi="Times New Roman" w:cs="Times New Roman"/>
          <w:sz w:val="24"/>
          <w:szCs w:val="24"/>
          <w:lang w:val="cs-CZ"/>
        </w:rPr>
        <w:t xml:space="preserve"> investic do vzdělávání nebudou překročovat</w:t>
      </w:r>
      <w:r w:rsidRPr="00B70217">
        <w:rPr>
          <w:rFonts w:ascii="Times New Roman" w:hAnsi="Times New Roman" w:cs="Times New Roman"/>
          <w:sz w:val="24"/>
          <w:szCs w:val="24"/>
          <w:lang w:val="cs-CZ"/>
        </w:rPr>
        <w:t xml:space="preserve"> míru návratnosti alternativních investic. Přínosem pro společnost je pak zvýšení pracovní síly, produktivita vzdělanějších členů společnosti a technologický pokrok. “(11)„ Některé diskuse o vztahu mezi populací a hospodářským růstem probíhají již dlouho, dnes existuje obecný názor, že růst populace má pozitivní vztah s ekonomickým růstem “(12)„ Základem pro zvýšení produktivity a konkurenčních výhod organizace je kvalita lidského kapitálu. </w:t>
      </w:r>
      <w:r w:rsidR="00F82DDB">
        <w:rPr>
          <w:rFonts w:ascii="Times New Roman" w:hAnsi="Times New Roman" w:cs="Times New Roman"/>
          <w:sz w:val="24"/>
          <w:szCs w:val="24"/>
          <w:lang w:val="cs-CZ"/>
        </w:rPr>
        <w:t>Produktivita hraje zásadní rolí</w:t>
      </w:r>
      <w:r w:rsidRPr="00B70217">
        <w:rPr>
          <w:rFonts w:ascii="Times New Roman" w:hAnsi="Times New Roman" w:cs="Times New Roman"/>
          <w:sz w:val="24"/>
          <w:szCs w:val="24"/>
          <w:lang w:val="cs-CZ"/>
        </w:rPr>
        <w:t xml:space="preserve">, protože přímo přispívá k hospodářskému růstu, protože produktivita je </w:t>
      </w:r>
      <w:r w:rsidR="00F82DDB">
        <w:rPr>
          <w:rFonts w:ascii="Times New Roman" w:hAnsi="Times New Roman" w:cs="Times New Roman"/>
          <w:sz w:val="24"/>
          <w:szCs w:val="24"/>
          <w:lang w:val="cs-CZ"/>
        </w:rPr>
        <w:t>Total Factor</w:t>
      </w:r>
      <w:r w:rsidRPr="00B70217">
        <w:rPr>
          <w:rFonts w:ascii="Times New Roman" w:hAnsi="Times New Roman" w:cs="Times New Roman"/>
          <w:sz w:val="24"/>
          <w:szCs w:val="24"/>
          <w:lang w:val="cs-CZ"/>
        </w:rPr>
        <w:t>, která má přímý dopad na hospodářský růst a do značné míry závisí na podílu práce na HDP “(13).</w:t>
      </w:r>
    </w:p>
    <w:p w:rsidR="00747233" w:rsidRDefault="00747233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Vztah mezí pracovní silou a HDP</w:t>
      </w:r>
      <w:r w:rsidR="00A761B6">
        <w:rPr>
          <w:rFonts w:ascii="Times New Roman" w:hAnsi="Times New Roman" w:cs="Times New Roman"/>
          <w:sz w:val="24"/>
          <w:szCs w:val="24"/>
          <w:lang w:val="cs-CZ"/>
        </w:rPr>
        <w:t xml:space="preserve"> na obyvatele země je zajímavý pro mnoho ekonomů </w:t>
      </w:r>
      <w:r w:rsidR="00A761B6" w:rsidRPr="00A761B6">
        <w:rPr>
          <w:rFonts w:ascii="Times New Roman" w:hAnsi="Times New Roman" w:cs="Times New Roman"/>
          <w:sz w:val="24"/>
          <w:szCs w:val="24"/>
          <w:lang w:val="cs-CZ"/>
        </w:rPr>
        <w:t>v kontextu studia vlivu fyzického a lidského kapitálu na ekonomický rozvoj země.</w:t>
      </w:r>
      <w:r w:rsidR="00A761B6">
        <w:rPr>
          <w:rFonts w:ascii="Times New Roman" w:hAnsi="Times New Roman" w:cs="Times New Roman"/>
          <w:sz w:val="24"/>
          <w:szCs w:val="24"/>
          <w:lang w:val="cs-CZ"/>
        </w:rPr>
        <w:t xml:space="preserve"> Ve pracéch Nazneen Ahmad, Josef J. French </w:t>
      </w:r>
      <w:r w:rsidR="00A761B6" w:rsidRPr="00A761B6">
        <w:rPr>
          <w:rFonts w:ascii="Times New Roman" w:hAnsi="Times New Roman" w:cs="Times New Roman"/>
          <w:sz w:val="24"/>
          <w:szCs w:val="24"/>
          <w:lang w:val="cs-CZ"/>
        </w:rPr>
        <w:t>(o  Bangladéši), Silvie Chudarková, Tomáš Verner(o Rakousko), Kasim Salim, Lajba Dar, Mechvish Shachid</w:t>
      </w:r>
      <w:r w:rsidR="00A761B6">
        <w:rPr>
          <w:rFonts w:ascii="Times New Roman" w:hAnsi="Times New Roman" w:cs="Times New Roman"/>
          <w:sz w:val="24"/>
          <w:szCs w:val="24"/>
          <w:lang w:val="cs-CZ"/>
        </w:rPr>
        <w:t xml:space="preserve">, Sadžid Asgar Rana </w:t>
      </w:r>
      <w:r w:rsidR="00A761B6" w:rsidRPr="00A761B6">
        <w:rPr>
          <w:rFonts w:ascii="Times New Roman" w:hAnsi="Times New Roman" w:cs="Times New Roman"/>
          <w:sz w:val="24"/>
          <w:szCs w:val="24"/>
          <w:lang w:val="cs-CZ"/>
        </w:rPr>
        <w:t>(o  Pákistánu),</w:t>
      </w:r>
      <w:r w:rsidR="00A761B6">
        <w:rPr>
          <w:rFonts w:ascii="Times New Roman" w:hAnsi="Times New Roman" w:cs="Times New Roman"/>
          <w:sz w:val="24"/>
          <w:szCs w:val="24"/>
          <w:lang w:val="cs-CZ"/>
        </w:rPr>
        <w:t xml:space="preserve"> Achmed Gekche Akpolat </w:t>
      </w:r>
      <w:r w:rsidR="00037423" w:rsidRPr="00A761B6">
        <w:rPr>
          <w:rFonts w:ascii="Times New Roman" w:hAnsi="Times New Roman" w:cs="Times New Roman"/>
          <w:sz w:val="24"/>
          <w:szCs w:val="24"/>
          <w:lang w:val="cs-CZ"/>
        </w:rPr>
        <w:t>(</w:t>
      </w:r>
      <w:r w:rsidR="00037423">
        <w:rPr>
          <w:rFonts w:ascii="Times New Roman" w:hAnsi="Times New Roman" w:cs="Times New Roman"/>
          <w:sz w:val="24"/>
          <w:szCs w:val="24"/>
          <w:lang w:val="cs-CZ"/>
        </w:rPr>
        <w:t>průzkum pomocí dat 13</w:t>
      </w:r>
      <w:r w:rsidR="00037423" w:rsidRPr="00037423">
        <w:rPr>
          <w:rFonts w:ascii="Times New Roman" w:hAnsi="Times New Roman" w:cs="Times New Roman"/>
          <w:sz w:val="24"/>
          <w:szCs w:val="24"/>
          <w:lang w:val="cs-CZ"/>
        </w:rPr>
        <w:t>rozvinutých a 11 rozvojových zemí za období 1970–2010</w:t>
      </w:r>
      <w:r w:rsidR="00037423" w:rsidRPr="00A761B6">
        <w:rPr>
          <w:rFonts w:ascii="Times New Roman" w:hAnsi="Times New Roman" w:cs="Times New Roman"/>
          <w:sz w:val="24"/>
          <w:szCs w:val="24"/>
          <w:lang w:val="cs-CZ"/>
        </w:rPr>
        <w:t>)</w:t>
      </w:r>
      <w:r w:rsidR="00C15041">
        <w:rPr>
          <w:rFonts w:ascii="Times New Roman" w:hAnsi="Times New Roman" w:cs="Times New Roman"/>
          <w:sz w:val="24"/>
          <w:szCs w:val="24"/>
          <w:lang w:val="cs-CZ"/>
        </w:rPr>
        <w:t xml:space="preserve"> jsou použité </w:t>
      </w:r>
      <w:r w:rsidR="00C15041" w:rsidRPr="00C15041">
        <w:rPr>
          <w:rFonts w:ascii="Times New Roman" w:hAnsi="Times New Roman" w:cs="Times New Roman"/>
          <w:sz w:val="24"/>
          <w:szCs w:val="24"/>
          <w:lang w:val="cs-CZ"/>
        </w:rPr>
        <w:t>různé ekonometrické metody: Johansenova kointegrační metoda, skupinová kointegrace a kointegrovaná regrese, vícenásobná regrese - byly studovány vztahy mezi fyzickým a lidským kapitálem a HDP, hlubší a podrobnější analýzy faktorů ovlivňujících HDP včetně pracovní síly. Vzhledem k tomu, že hospodářský růst je dlouhodobým jevem, je velmi důležité určit dlouhodobý dopad proměnných fyzického a lidského kapitálu (14). V globální znalostní ekonomice se dovednosti, učení, nadání a atributy lidí, jejich lidský kapitál, staly klíčem k jejich schopnosti žít a šířit ekonomický růst. (5) V teoretické části práce byly učiněny argumenty, které naznačují, že velikost pracovní síly, její úroveň ekonomické zaměstnanosti úzce souvisí s HDP na obyvatele ČR. Přesto je stále nejasné, v jakém směru dochází k vztahu mezi HDP a pracovní silou, zda je pracovní síla hnacím faktorem ovlivňujícím HDP, nebo naopak. Na tyto otázky je třeba odpovědět v další části v praktické části.</w:t>
      </w:r>
    </w:p>
    <w:p w:rsidR="00475B9D" w:rsidRDefault="00475B9D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475B9D" w:rsidRDefault="00475B9D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475B9D" w:rsidRDefault="00475B9D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475B9D" w:rsidRDefault="00475B9D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475B9D" w:rsidRDefault="00475B9D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475B9D" w:rsidRDefault="00475B9D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475B9D" w:rsidRDefault="00475B9D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475B9D" w:rsidRDefault="00475B9D" w:rsidP="00D45B60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cs-CZ"/>
        </w:rPr>
      </w:pPr>
      <w:r w:rsidRPr="00475B9D">
        <w:rPr>
          <w:rFonts w:ascii="Times New Roman" w:hAnsi="Times New Roman" w:cs="Times New Roman"/>
          <w:b/>
          <w:sz w:val="32"/>
          <w:szCs w:val="32"/>
          <w:lang w:val="cs-CZ"/>
        </w:rPr>
        <w:lastRenderedPageBreak/>
        <w:t>Praktická část</w:t>
      </w:r>
    </w:p>
    <w:p w:rsidR="00AF23A0" w:rsidRDefault="00AF23A0" w:rsidP="00D45B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F23A0" w:rsidRPr="009A1BF3" w:rsidRDefault="00D45B60" w:rsidP="00D45B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Tabulky </w:t>
      </w:r>
      <w:r w:rsidR="00AF23A0">
        <w:rPr>
          <w:rFonts w:ascii="Times New Roman" w:hAnsi="Times New Roman" w:cs="Times New Roman"/>
          <w:b/>
          <w:sz w:val="24"/>
          <w:szCs w:val="24"/>
        </w:rPr>
        <w:t>1.</w:t>
      </w:r>
      <w:r w:rsidR="00AF23A0" w:rsidRPr="00957C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23A0">
        <w:rPr>
          <w:rStyle w:val="tlid-translation"/>
          <w:rFonts w:ascii="Times New Roman" w:hAnsi="Times New Roman" w:cs="Times New Roman"/>
          <w:b/>
          <w:sz w:val="24"/>
          <w:szCs w:val="24"/>
          <w:lang w:val="cs-CZ"/>
        </w:rPr>
        <w:t>Pracovní síla</w:t>
      </w:r>
      <w:r w:rsidR="00AF23A0">
        <w:rPr>
          <w:rStyle w:val="tlid-translation"/>
          <w:rFonts w:ascii="Times New Roman" w:hAnsi="Times New Roman" w:cs="Times New Roman"/>
          <w:b/>
          <w:sz w:val="24"/>
          <w:szCs w:val="24"/>
        </w:rPr>
        <w:t>.</w:t>
      </w:r>
      <w:r w:rsidR="00AF23A0" w:rsidRPr="005344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23A0" w:rsidRPr="00945401">
        <w:rPr>
          <w:rFonts w:ascii="Times New Roman" w:hAnsi="Times New Roman" w:cs="Times New Roman"/>
          <w:b/>
          <w:sz w:val="24"/>
          <w:szCs w:val="24"/>
        </w:rPr>
        <w:t>Č</w:t>
      </w:r>
      <w:r w:rsidR="00AF23A0" w:rsidRPr="00207325">
        <w:rPr>
          <w:rFonts w:ascii="Times New Roman" w:hAnsi="Times New Roman" w:cs="Times New Roman"/>
          <w:b/>
          <w:sz w:val="24"/>
          <w:szCs w:val="24"/>
          <w:lang w:val="en-US"/>
        </w:rPr>
        <w:t>esk</w:t>
      </w:r>
      <w:r w:rsidR="00AF23A0" w:rsidRPr="00945401">
        <w:rPr>
          <w:rFonts w:ascii="Times New Roman" w:hAnsi="Times New Roman" w:cs="Times New Roman"/>
          <w:b/>
          <w:sz w:val="24"/>
          <w:szCs w:val="24"/>
        </w:rPr>
        <w:t xml:space="preserve">á </w:t>
      </w:r>
      <w:r w:rsidR="00AF23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23A0" w:rsidRPr="00207325">
        <w:rPr>
          <w:rFonts w:ascii="Times New Roman" w:hAnsi="Times New Roman" w:cs="Times New Roman"/>
          <w:b/>
          <w:sz w:val="24"/>
          <w:szCs w:val="24"/>
          <w:lang w:val="en-US"/>
        </w:rPr>
        <w:t>republika</w:t>
      </w:r>
      <w:r w:rsidR="00AF23A0" w:rsidRPr="0094540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F23A0" w:rsidRPr="00105794">
        <w:rPr>
          <w:rFonts w:ascii="Times New Roman" w:hAnsi="Times New Roman" w:cs="Times New Roman"/>
          <w:b/>
          <w:sz w:val="24"/>
          <w:szCs w:val="24"/>
        </w:rPr>
        <w:t xml:space="preserve">1990 – 2017 </w:t>
      </w:r>
      <w:r w:rsidR="00AF23A0" w:rsidRPr="00105794">
        <w:rPr>
          <w:rFonts w:ascii="Times New Roman" w:hAnsi="Times New Roman" w:cs="Times New Roman"/>
          <w:sz w:val="24"/>
          <w:szCs w:val="24"/>
        </w:rPr>
        <w:t>(</w:t>
      </w:r>
      <w:r w:rsidR="00AF23A0"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="00AF23A0" w:rsidRPr="00105794">
        <w:rPr>
          <w:rFonts w:ascii="Times New Roman" w:hAnsi="Times New Roman" w:cs="Times New Roman"/>
          <w:sz w:val="24"/>
          <w:szCs w:val="24"/>
        </w:rPr>
        <w:t xml:space="preserve"> </w:t>
      </w:r>
      <w:r w:rsidR="00AF23A0">
        <w:rPr>
          <w:rFonts w:ascii="Times New Roman" w:hAnsi="Times New Roman" w:cs="Times New Roman"/>
          <w:sz w:val="24"/>
          <w:szCs w:val="24"/>
          <w:lang w:val="en-US"/>
        </w:rPr>
        <w:t>Bank</w:t>
      </w:r>
      <w:r w:rsidR="00AF23A0" w:rsidRPr="00105794">
        <w:rPr>
          <w:rFonts w:ascii="Times New Roman" w:hAnsi="Times New Roman" w:cs="Times New Roman"/>
          <w:sz w:val="24"/>
          <w:szCs w:val="24"/>
        </w:rPr>
        <w:t xml:space="preserve">, 2019/ </w:t>
      </w:r>
      <w:r w:rsidR="00AF23A0">
        <w:rPr>
          <w:rFonts w:ascii="Times New Roman" w:hAnsi="Times New Roman" w:cs="Times New Roman"/>
          <w:sz w:val="24"/>
          <w:szCs w:val="24"/>
        </w:rPr>
        <w:t>А)</w:t>
      </w:r>
    </w:p>
    <w:tbl>
      <w:tblPr>
        <w:tblW w:w="9945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09"/>
        <w:gridCol w:w="6236"/>
      </w:tblGrid>
      <w:tr w:rsidR="00AF23A0" w:rsidRPr="00E24AD3" w:rsidTr="00D70A7E">
        <w:trPr>
          <w:trHeight w:val="435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0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Období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E24AD3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3405B">
              <w:rPr>
                <w:rStyle w:val="tlid-translation"/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Pracovn</w:t>
            </w:r>
            <w:r w:rsidRPr="00E24AD3">
              <w:rPr>
                <w:rStyle w:val="tlid-translation"/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í </w:t>
            </w:r>
            <w:r w:rsidRPr="0013405B">
              <w:rPr>
                <w:rStyle w:val="tlid-translation"/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</w:t>
            </w:r>
            <w:r w:rsidRPr="00E24AD3">
              <w:rPr>
                <w:rStyle w:val="tlid-translation"/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í</w:t>
            </w:r>
            <w:r w:rsidRPr="0013405B">
              <w:rPr>
                <w:rStyle w:val="tlid-translation"/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</w:t>
            </w:r>
            <w:r w:rsidRPr="00E24AD3">
              <w:rPr>
                <w:rStyle w:val="tlid-translation"/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Pr="00E24AD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 w:rsidRPr="0013405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E24AD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13405B">
              <w:rPr>
                <w:rFonts w:ascii="Times New Roman" w:hAnsi="Times New Roman" w:cs="Times New Roman"/>
                <w:b/>
                <w:sz w:val="24"/>
                <w:szCs w:val="24"/>
                <w:lang w:val="cs-CZ"/>
              </w:rPr>
              <w:t xml:space="preserve"> tisících osob</w:t>
            </w:r>
            <w:r w:rsidRPr="00E24AD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</w:tr>
      <w:tr w:rsidR="00AF23A0" w:rsidRPr="009E1154" w:rsidTr="00D70A7E">
        <w:trPr>
          <w:trHeight w:val="435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405B">
              <w:rPr>
                <w:rFonts w:ascii="Times New Roman" w:hAnsi="Times New Roman" w:cs="Times New Roman"/>
                <w:bCs/>
                <w:sz w:val="24"/>
                <w:szCs w:val="24"/>
              </w:rPr>
              <w:t>1990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</w:pPr>
            <w:r w:rsidRPr="0013405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4938,954</w:t>
            </w:r>
          </w:p>
        </w:tc>
      </w:tr>
      <w:tr w:rsidR="00AF23A0" w:rsidRPr="009E1154" w:rsidTr="00D70A7E">
        <w:trPr>
          <w:trHeight w:val="435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405B">
              <w:rPr>
                <w:rFonts w:ascii="Times New Roman" w:hAnsi="Times New Roman" w:cs="Times New Roman"/>
                <w:bCs/>
                <w:sz w:val="24"/>
                <w:szCs w:val="24"/>
              </w:rPr>
              <w:t>1991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</w:pPr>
            <w:r w:rsidRPr="0013405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4979,467</w:t>
            </w:r>
          </w:p>
        </w:tc>
      </w:tr>
      <w:tr w:rsidR="00AF23A0" w:rsidRPr="009E1154" w:rsidTr="00D70A7E">
        <w:trPr>
          <w:trHeight w:val="435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405B">
              <w:rPr>
                <w:rFonts w:ascii="Times New Roman" w:hAnsi="Times New Roman" w:cs="Times New Roman"/>
                <w:bCs/>
                <w:sz w:val="24"/>
                <w:szCs w:val="24"/>
              </w:rPr>
              <w:t>1992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</w:pPr>
            <w:r w:rsidRPr="0013405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5024,861</w:t>
            </w:r>
          </w:p>
        </w:tc>
      </w:tr>
      <w:tr w:rsidR="00AF23A0" w:rsidRPr="009E1154" w:rsidTr="00D70A7E">
        <w:trPr>
          <w:trHeight w:val="435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405B">
              <w:rPr>
                <w:rFonts w:ascii="Times New Roman" w:hAnsi="Times New Roman" w:cs="Times New Roman"/>
                <w:bCs/>
                <w:sz w:val="24"/>
                <w:szCs w:val="24"/>
              </w:rPr>
              <w:t>1993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</w:pPr>
            <w:r w:rsidRPr="0013405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5,079,352</w:t>
            </w:r>
          </w:p>
        </w:tc>
      </w:tr>
      <w:tr w:rsidR="00AF23A0" w:rsidRPr="009E1154" w:rsidTr="00D70A7E">
        <w:trPr>
          <w:trHeight w:val="435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405B">
              <w:rPr>
                <w:rFonts w:ascii="Times New Roman" w:hAnsi="Times New Roman" w:cs="Times New Roman"/>
                <w:bCs/>
                <w:sz w:val="24"/>
                <w:szCs w:val="24"/>
              </w:rPr>
              <w:t>1994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</w:pPr>
            <w:r w:rsidRPr="0013405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5138,632</w:t>
            </w:r>
          </w:p>
        </w:tc>
      </w:tr>
      <w:tr w:rsidR="00AF23A0" w:rsidRPr="009E1154" w:rsidTr="00D70A7E">
        <w:trPr>
          <w:trHeight w:val="435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405B">
              <w:rPr>
                <w:rFonts w:ascii="Times New Roman" w:hAnsi="Times New Roman" w:cs="Times New Roman"/>
                <w:bCs/>
                <w:sz w:val="24"/>
                <w:szCs w:val="24"/>
              </w:rPr>
              <w:t>1995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</w:pPr>
            <w:r w:rsidRPr="0013405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5158,918</w:t>
            </w:r>
          </w:p>
        </w:tc>
      </w:tr>
      <w:tr w:rsidR="00AF23A0" w:rsidRPr="009E1154" w:rsidTr="00D70A7E">
        <w:trPr>
          <w:trHeight w:val="435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405B">
              <w:rPr>
                <w:rFonts w:ascii="Times New Roman" w:hAnsi="Times New Roman" w:cs="Times New Roman"/>
                <w:bCs/>
                <w:sz w:val="24"/>
                <w:szCs w:val="24"/>
              </w:rPr>
              <w:t>1996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</w:pPr>
            <w:r w:rsidRPr="0013405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5156,951</w:t>
            </w:r>
          </w:p>
        </w:tc>
      </w:tr>
      <w:tr w:rsidR="00AF23A0" w:rsidRPr="009E1154" w:rsidTr="00D70A7E">
        <w:trPr>
          <w:trHeight w:val="435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405B">
              <w:rPr>
                <w:rFonts w:ascii="Times New Roman" w:hAnsi="Times New Roman" w:cs="Times New Roman"/>
                <w:bCs/>
                <w:sz w:val="24"/>
                <w:szCs w:val="24"/>
              </w:rPr>
              <w:t>1997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</w:pPr>
            <w:r w:rsidRPr="0013405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5134,661</w:t>
            </w:r>
          </w:p>
        </w:tc>
      </w:tr>
      <w:tr w:rsidR="00AF23A0" w:rsidRPr="009E1154" w:rsidTr="00D70A7E">
        <w:trPr>
          <w:trHeight w:val="435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405B">
              <w:rPr>
                <w:rFonts w:ascii="Times New Roman" w:hAnsi="Times New Roman" w:cs="Times New Roman"/>
                <w:bCs/>
                <w:sz w:val="24"/>
                <w:szCs w:val="24"/>
              </w:rPr>
              <w:t>1998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</w:pPr>
            <w:r w:rsidRPr="0013405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5155,929</w:t>
            </w:r>
          </w:p>
        </w:tc>
      </w:tr>
      <w:tr w:rsidR="00AF23A0" w:rsidRPr="009E1154" w:rsidTr="00D70A7E">
        <w:trPr>
          <w:trHeight w:val="435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405B">
              <w:rPr>
                <w:rFonts w:ascii="Times New Roman" w:hAnsi="Times New Roman" w:cs="Times New Roman"/>
                <w:bCs/>
                <w:sz w:val="24"/>
                <w:szCs w:val="24"/>
              </w:rPr>
              <w:t>1999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</w:pPr>
            <w:r w:rsidRPr="0013405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5184,005</w:t>
            </w:r>
          </w:p>
        </w:tc>
      </w:tr>
      <w:tr w:rsidR="00AF23A0" w:rsidRPr="009E1154" w:rsidTr="00D70A7E">
        <w:trPr>
          <w:trHeight w:val="435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405B">
              <w:rPr>
                <w:rFonts w:ascii="Times New Roman" w:hAnsi="Times New Roman" w:cs="Times New Roman"/>
                <w:bCs/>
                <w:sz w:val="24"/>
                <w:szCs w:val="24"/>
              </w:rPr>
              <w:t>2000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</w:pPr>
            <w:r w:rsidRPr="0013405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5153,263</w:t>
            </w:r>
          </w:p>
        </w:tc>
      </w:tr>
      <w:tr w:rsidR="00AF23A0" w:rsidRPr="009E1154" w:rsidTr="00D70A7E">
        <w:trPr>
          <w:trHeight w:val="435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405B">
              <w:rPr>
                <w:rFonts w:ascii="Times New Roman" w:hAnsi="Times New Roman" w:cs="Times New Roman"/>
                <w:bCs/>
                <w:sz w:val="24"/>
                <w:szCs w:val="24"/>
              </w:rPr>
              <w:t>2001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</w:pPr>
            <w:r w:rsidRPr="0013405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5132,262</w:t>
            </w:r>
          </w:p>
        </w:tc>
      </w:tr>
      <w:tr w:rsidR="00AF23A0" w:rsidRPr="009E1154" w:rsidTr="00D70A7E">
        <w:trPr>
          <w:trHeight w:val="435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405B">
              <w:rPr>
                <w:rFonts w:ascii="Times New Roman" w:hAnsi="Times New Roman" w:cs="Times New Roman"/>
                <w:bCs/>
                <w:sz w:val="24"/>
                <w:szCs w:val="24"/>
              </w:rPr>
              <w:t>2002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</w:pPr>
            <w:r w:rsidRPr="0013405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5133,854</w:t>
            </w:r>
          </w:p>
        </w:tc>
      </w:tr>
      <w:tr w:rsidR="00AF23A0" w:rsidRPr="009E1154" w:rsidTr="00D70A7E">
        <w:trPr>
          <w:trHeight w:val="435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405B">
              <w:rPr>
                <w:rFonts w:ascii="Times New Roman" w:hAnsi="Times New Roman" w:cs="Times New Roman"/>
                <w:bCs/>
                <w:sz w:val="24"/>
                <w:szCs w:val="24"/>
              </w:rPr>
              <w:t>2003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</w:pPr>
            <w:r w:rsidRPr="0013405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5128,040</w:t>
            </w:r>
          </w:p>
        </w:tc>
      </w:tr>
      <w:tr w:rsidR="00AF23A0" w:rsidRPr="009E1154" w:rsidTr="00D70A7E">
        <w:trPr>
          <w:trHeight w:val="435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405B">
              <w:rPr>
                <w:rFonts w:ascii="Times New Roman" w:hAnsi="Times New Roman" w:cs="Times New Roman"/>
                <w:bCs/>
                <w:sz w:val="24"/>
                <w:szCs w:val="24"/>
              </w:rPr>
              <w:t>2004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</w:pPr>
            <w:r w:rsidRPr="0013405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5124,920</w:t>
            </w:r>
          </w:p>
        </w:tc>
      </w:tr>
      <w:tr w:rsidR="00AF23A0" w:rsidRPr="009E1154" w:rsidTr="00D70A7E">
        <w:trPr>
          <w:trHeight w:val="435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405B">
              <w:rPr>
                <w:rFonts w:ascii="Times New Roman" w:hAnsi="Times New Roman" w:cs="Times New Roman"/>
                <w:bCs/>
                <w:sz w:val="24"/>
                <w:szCs w:val="24"/>
              </w:rPr>
              <w:t>2005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</w:pPr>
            <w:r w:rsidRPr="0013405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5180,535</w:t>
            </w:r>
          </w:p>
        </w:tc>
      </w:tr>
      <w:tr w:rsidR="00AF23A0" w:rsidRPr="009E1154" w:rsidTr="00D70A7E">
        <w:trPr>
          <w:trHeight w:val="435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405B">
              <w:rPr>
                <w:rFonts w:ascii="Times New Roman" w:hAnsi="Times New Roman" w:cs="Times New Roman"/>
                <w:bCs/>
                <w:sz w:val="24"/>
                <w:szCs w:val="24"/>
              </w:rPr>
              <w:t>2006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</w:pPr>
            <w:r w:rsidRPr="0013405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5186,107</w:t>
            </w:r>
          </w:p>
        </w:tc>
      </w:tr>
      <w:tr w:rsidR="00AF23A0" w:rsidRPr="009E1154" w:rsidTr="00D70A7E">
        <w:trPr>
          <w:trHeight w:val="435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405B">
              <w:rPr>
                <w:rFonts w:ascii="Times New Roman" w:hAnsi="Times New Roman" w:cs="Times New Roman"/>
                <w:bCs/>
                <w:sz w:val="24"/>
                <w:szCs w:val="24"/>
              </w:rPr>
              <w:t>2007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</w:pPr>
            <w:r w:rsidRPr="0013405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5185,902</w:t>
            </w:r>
          </w:p>
        </w:tc>
      </w:tr>
      <w:tr w:rsidR="00AF23A0" w:rsidRPr="009E1154" w:rsidTr="00D70A7E">
        <w:trPr>
          <w:trHeight w:val="435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405B">
              <w:rPr>
                <w:rFonts w:ascii="Times New Roman" w:hAnsi="Times New Roman" w:cs="Times New Roman"/>
                <w:bCs/>
                <w:sz w:val="24"/>
                <w:szCs w:val="24"/>
              </w:rPr>
              <w:t>2008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</w:pPr>
            <w:r w:rsidRPr="0013405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5205,303</w:t>
            </w:r>
          </w:p>
        </w:tc>
      </w:tr>
      <w:tr w:rsidR="00AF23A0" w:rsidRPr="009E1154" w:rsidTr="00D70A7E">
        <w:trPr>
          <w:trHeight w:val="435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405B">
              <w:rPr>
                <w:rFonts w:ascii="Times New Roman" w:hAnsi="Times New Roman" w:cs="Times New Roman"/>
                <w:bCs/>
                <w:sz w:val="24"/>
                <w:szCs w:val="24"/>
              </w:rPr>
              <w:t>2009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</w:pPr>
            <w:r w:rsidRPr="0013405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5249,751</w:t>
            </w:r>
          </w:p>
        </w:tc>
      </w:tr>
      <w:tr w:rsidR="00AF23A0" w:rsidRPr="009E1154" w:rsidTr="00D70A7E">
        <w:trPr>
          <w:trHeight w:val="435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405B">
              <w:rPr>
                <w:rFonts w:ascii="Times New Roman" w:hAnsi="Times New Roman" w:cs="Times New Roman"/>
                <w:bCs/>
                <w:sz w:val="24"/>
                <w:szCs w:val="24"/>
              </w:rPr>
              <w:t>2010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</w:pPr>
            <w:r w:rsidRPr="0013405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5241,295</w:t>
            </w:r>
          </w:p>
        </w:tc>
      </w:tr>
      <w:tr w:rsidR="00AF23A0" w:rsidRPr="009E1154" w:rsidTr="00D70A7E">
        <w:trPr>
          <w:trHeight w:val="435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405B">
              <w:rPr>
                <w:rFonts w:ascii="Times New Roman" w:hAnsi="Times New Roman" w:cs="Times New Roman"/>
                <w:bCs/>
                <w:sz w:val="24"/>
                <w:szCs w:val="24"/>
              </w:rPr>
              <w:t>2011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</w:pPr>
            <w:r w:rsidRPr="0013405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5232,517</w:t>
            </w:r>
          </w:p>
        </w:tc>
      </w:tr>
      <w:tr w:rsidR="00AF23A0" w:rsidRPr="009E1154" w:rsidTr="00D70A7E">
        <w:trPr>
          <w:trHeight w:val="435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405B">
              <w:rPr>
                <w:rFonts w:ascii="Times New Roman" w:hAnsi="Times New Roman" w:cs="Times New Roman"/>
                <w:bCs/>
                <w:sz w:val="24"/>
                <w:szCs w:val="24"/>
              </w:rPr>
              <w:t>2012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</w:pPr>
            <w:r w:rsidRPr="0013405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5269,165</w:t>
            </w:r>
          </w:p>
        </w:tc>
      </w:tr>
      <w:tr w:rsidR="00AF23A0" w:rsidRPr="009E1154" w:rsidTr="00D70A7E">
        <w:trPr>
          <w:trHeight w:val="435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405B">
              <w:rPr>
                <w:rFonts w:ascii="Times New Roman" w:hAnsi="Times New Roman" w:cs="Times New Roman"/>
                <w:bCs/>
                <w:sz w:val="24"/>
                <w:szCs w:val="24"/>
              </w:rPr>
              <w:t>2013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</w:pPr>
            <w:r w:rsidRPr="0013405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5321,932</w:t>
            </w:r>
          </w:p>
        </w:tc>
      </w:tr>
      <w:tr w:rsidR="00AF23A0" w:rsidRPr="009E1154" w:rsidTr="00D70A7E">
        <w:trPr>
          <w:trHeight w:val="435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405B">
              <w:rPr>
                <w:rFonts w:ascii="Times New Roman" w:hAnsi="Times New Roman" w:cs="Times New Roman"/>
                <w:bCs/>
                <w:sz w:val="24"/>
                <w:szCs w:val="24"/>
              </w:rPr>
              <w:t>2014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</w:pPr>
            <w:r w:rsidRPr="0013405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5322,708</w:t>
            </w:r>
          </w:p>
        </w:tc>
      </w:tr>
      <w:tr w:rsidR="00AF23A0" w:rsidRPr="009E1154" w:rsidTr="00D70A7E">
        <w:trPr>
          <w:trHeight w:val="435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405B">
              <w:rPr>
                <w:rFonts w:ascii="Times New Roman" w:hAnsi="Times New Roman" w:cs="Times New Roman"/>
                <w:bCs/>
                <w:sz w:val="24"/>
                <w:szCs w:val="24"/>
              </w:rPr>
              <w:t>2015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</w:pPr>
            <w:r w:rsidRPr="0013405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5336,207</w:t>
            </w:r>
          </w:p>
        </w:tc>
      </w:tr>
      <w:tr w:rsidR="00AF23A0" w:rsidRPr="009E1154" w:rsidTr="00D70A7E">
        <w:trPr>
          <w:trHeight w:val="435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405B">
              <w:rPr>
                <w:rFonts w:ascii="Times New Roman" w:hAnsi="Times New Roman" w:cs="Times New Roman"/>
                <w:bCs/>
                <w:sz w:val="24"/>
                <w:szCs w:val="24"/>
              </w:rPr>
              <w:t>2016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</w:pPr>
            <w:r w:rsidRPr="0013405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5387,517</w:t>
            </w:r>
          </w:p>
        </w:tc>
      </w:tr>
      <w:tr w:rsidR="00AF23A0" w:rsidRPr="009E1154" w:rsidTr="00D70A7E">
        <w:trPr>
          <w:trHeight w:val="435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405B">
              <w:rPr>
                <w:rFonts w:ascii="Times New Roman" w:hAnsi="Times New Roman" w:cs="Times New Roman"/>
                <w:bCs/>
                <w:sz w:val="24"/>
                <w:szCs w:val="24"/>
              </w:rPr>
              <w:t>2017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3A0" w:rsidRPr="0013405B" w:rsidRDefault="00AF23A0" w:rsidP="00D45B60">
            <w:pPr>
              <w:spacing w:after="0" w:line="240" w:lineRule="auto"/>
              <w:jc w:val="center"/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</w:pPr>
            <w:r w:rsidRPr="0013405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5371,439</w:t>
            </w:r>
          </w:p>
        </w:tc>
      </w:tr>
    </w:tbl>
    <w:p w:rsidR="00AF23A0" w:rsidRDefault="00AF23A0" w:rsidP="00D45B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23A0" w:rsidRPr="00E75939" w:rsidRDefault="00D45B60" w:rsidP="00D45B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Tabulky </w:t>
      </w:r>
      <w:r w:rsidR="00AF23A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F23A0" w:rsidRPr="00E24AD3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proofErr w:type="gramEnd"/>
      <w:r w:rsidR="00AF23A0" w:rsidRPr="002073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AF23A0" w:rsidRPr="00857455">
        <w:rPr>
          <w:rFonts w:ascii="Times New Roman" w:hAnsi="Times New Roman" w:cs="Times New Roman"/>
          <w:b/>
          <w:sz w:val="24"/>
          <w:szCs w:val="24"/>
          <w:lang w:val="en-US"/>
        </w:rPr>
        <w:t xml:space="preserve">HDP </w:t>
      </w:r>
      <w:proofErr w:type="gramStart"/>
      <w:r w:rsidR="00AF23A0" w:rsidRPr="00857455">
        <w:rPr>
          <w:rFonts w:ascii="Times New Roman" w:hAnsi="Times New Roman" w:cs="Times New Roman"/>
          <w:b/>
          <w:sz w:val="24"/>
          <w:szCs w:val="24"/>
          <w:lang w:val="en-US"/>
        </w:rPr>
        <w:t>na</w:t>
      </w:r>
      <w:proofErr w:type="gramEnd"/>
      <w:r w:rsidR="00AF23A0" w:rsidRPr="0085745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 obyvatele</w:t>
      </w:r>
      <w:r w:rsidR="00AF23A0" w:rsidRPr="000911F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AF23A0" w:rsidRPr="0085745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F23A0" w:rsidRPr="00207325">
        <w:rPr>
          <w:rFonts w:ascii="Times New Roman" w:hAnsi="Times New Roman" w:cs="Times New Roman"/>
          <w:b/>
          <w:sz w:val="24"/>
          <w:szCs w:val="24"/>
          <w:lang w:val="en-US"/>
        </w:rPr>
        <w:t>Česká republika</w:t>
      </w:r>
      <w:r w:rsidR="00AF23A0" w:rsidRPr="000911F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AF23A0" w:rsidRPr="00E75939">
        <w:rPr>
          <w:rFonts w:ascii="Times New Roman" w:hAnsi="Times New Roman" w:cs="Times New Roman"/>
          <w:b/>
          <w:sz w:val="24"/>
          <w:szCs w:val="24"/>
          <w:lang w:val="en-US"/>
        </w:rPr>
        <w:t>1990 –</w:t>
      </w:r>
      <w:r w:rsidR="00AF23A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2017 </w:t>
      </w:r>
      <w:r w:rsidR="00AF23A0">
        <w:rPr>
          <w:rFonts w:ascii="Times New Roman" w:hAnsi="Times New Roman" w:cs="Times New Roman"/>
          <w:sz w:val="24"/>
          <w:szCs w:val="24"/>
          <w:lang w:val="en-US"/>
        </w:rPr>
        <w:t>(World Bank, 2019</w:t>
      </w:r>
      <w:r w:rsidR="00AF23A0" w:rsidRPr="009E184B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AF23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F23A0">
        <w:rPr>
          <w:rFonts w:ascii="Times New Roman" w:hAnsi="Times New Roman" w:cs="Times New Roman"/>
          <w:sz w:val="24"/>
          <w:szCs w:val="24"/>
        </w:rPr>
        <w:t>В</w:t>
      </w:r>
      <w:r w:rsidR="00AF23A0" w:rsidRPr="00E7593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F23A0" w:rsidRPr="009E184B">
        <w:rPr>
          <w:lang w:val="en-US"/>
        </w:rPr>
        <w:t xml:space="preserve"> 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9"/>
        <w:gridCol w:w="5245"/>
      </w:tblGrid>
      <w:tr w:rsidR="00AF23A0" w:rsidRPr="000911FE" w:rsidTr="00D70A7E">
        <w:trPr>
          <w:trHeight w:val="421"/>
        </w:trPr>
        <w:tc>
          <w:tcPr>
            <w:tcW w:w="4179" w:type="dxa"/>
            <w:vAlign w:val="center"/>
          </w:tcPr>
          <w:p w:rsidR="00AF23A0" w:rsidRPr="000911FE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911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Období</w:t>
            </w:r>
            <w:r w:rsidRPr="008574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245" w:type="dxa"/>
            <w:vAlign w:val="center"/>
          </w:tcPr>
          <w:p w:rsidR="00AF23A0" w:rsidRPr="000911FE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0911F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HDP na 1 obyvatele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v</w:t>
            </w:r>
            <w:r w:rsidRPr="000911F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$ </w:t>
            </w:r>
          </w:p>
        </w:tc>
      </w:tr>
      <w:tr w:rsidR="00AF23A0" w:rsidRPr="002B1AD6" w:rsidTr="00D70A7E">
        <w:trPr>
          <w:trHeight w:val="413"/>
        </w:trPr>
        <w:tc>
          <w:tcPr>
            <w:tcW w:w="4179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1990</w:t>
            </w:r>
          </w:p>
        </w:tc>
        <w:tc>
          <w:tcPr>
            <w:tcW w:w="5245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3917,16</w:t>
            </w:r>
          </w:p>
        </w:tc>
      </w:tr>
      <w:tr w:rsidR="00AF23A0" w:rsidRPr="002B1AD6" w:rsidTr="00D70A7E">
        <w:trPr>
          <w:trHeight w:val="419"/>
        </w:trPr>
        <w:tc>
          <w:tcPr>
            <w:tcW w:w="4179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1991</w:t>
            </w:r>
          </w:p>
        </w:tc>
        <w:tc>
          <w:tcPr>
            <w:tcW w:w="5245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2878,719</w:t>
            </w:r>
          </w:p>
        </w:tc>
      </w:tr>
      <w:tr w:rsidR="00AF23A0" w:rsidRPr="002B1AD6" w:rsidTr="00D70A7E">
        <w:trPr>
          <w:trHeight w:val="411"/>
        </w:trPr>
        <w:tc>
          <w:tcPr>
            <w:tcW w:w="4179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1992</w:t>
            </w:r>
          </w:p>
        </w:tc>
        <w:tc>
          <w:tcPr>
            <w:tcW w:w="5245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3352,0</w:t>
            </w:r>
            <w:r w:rsidRPr="00CF613C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AF23A0" w:rsidRPr="002B1AD6" w:rsidTr="00D70A7E">
        <w:trPr>
          <w:trHeight w:val="416"/>
        </w:trPr>
        <w:tc>
          <w:tcPr>
            <w:tcW w:w="4179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1993</w:t>
            </w:r>
          </w:p>
        </w:tc>
        <w:tc>
          <w:tcPr>
            <w:tcW w:w="5245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</w:rPr>
              <w:t>3931,744</w:t>
            </w:r>
          </w:p>
        </w:tc>
      </w:tr>
      <w:tr w:rsidR="00AF23A0" w:rsidRPr="002B1AD6" w:rsidTr="00D70A7E">
        <w:trPr>
          <w:trHeight w:val="422"/>
        </w:trPr>
        <w:tc>
          <w:tcPr>
            <w:tcW w:w="4179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1994</w:t>
            </w:r>
          </w:p>
        </w:tc>
        <w:tc>
          <w:tcPr>
            <w:tcW w:w="5245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</w:rPr>
              <w:t>4601,952</w:t>
            </w:r>
          </w:p>
        </w:tc>
      </w:tr>
      <w:tr w:rsidR="00AF23A0" w:rsidRPr="002B1AD6" w:rsidTr="00D70A7E">
        <w:trPr>
          <w:trHeight w:val="415"/>
        </w:trPr>
        <w:tc>
          <w:tcPr>
            <w:tcW w:w="4179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1995</w:t>
            </w:r>
          </w:p>
        </w:tc>
        <w:tc>
          <w:tcPr>
            <w:tcW w:w="5245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</w:rPr>
              <w:t>5788,151</w:t>
            </w:r>
          </w:p>
        </w:tc>
      </w:tr>
      <w:tr w:rsidR="00AF23A0" w:rsidRPr="002B1AD6" w:rsidTr="00D70A7E">
        <w:trPr>
          <w:trHeight w:val="421"/>
        </w:trPr>
        <w:tc>
          <w:tcPr>
            <w:tcW w:w="4179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1996</w:t>
            </w:r>
          </w:p>
        </w:tc>
        <w:tc>
          <w:tcPr>
            <w:tcW w:w="5245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</w:rPr>
              <w:t>6493,863</w:t>
            </w:r>
          </w:p>
        </w:tc>
      </w:tr>
      <w:tr w:rsidR="00AF23A0" w:rsidRPr="002B1AD6" w:rsidTr="00D70A7E">
        <w:trPr>
          <w:trHeight w:val="413"/>
        </w:trPr>
        <w:tc>
          <w:tcPr>
            <w:tcW w:w="4179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1997</w:t>
            </w:r>
          </w:p>
        </w:tc>
        <w:tc>
          <w:tcPr>
            <w:tcW w:w="5245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</w:rPr>
              <w:t>5996,834</w:t>
            </w:r>
          </w:p>
        </w:tc>
      </w:tr>
      <w:tr w:rsidR="00AF23A0" w:rsidRPr="002B1AD6" w:rsidTr="00D70A7E">
        <w:trPr>
          <w:trHeight w:val="418"/>
        </w:trPr>
        <w:tc>
          <w:tcPr>
            <w:tcW w:w="4179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1998</w:t>
            </w:r>
          </w:p>
        </w:tc>
        <w:tc>
          <w:tcPr>
            <w:tcW w:w="5245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</w:rPr>
              <w:t>6458,905</w:t>
            </w:r>
          </w:p>
        </w:tc>
      </w:tr>
      <w:tr w:rsidR="00AF23A0" w:rsidRPr="002B1AD6" w:rsidTr="00D70A7E">
        <w:trPr>
          <w:trHeight w:val="397"/>
        </w:trPr>
        <w:tc>
          <w:tcPr>
            <w:tcW w:w="4179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1999</w:t>
            </w:r>
          </w:p>
        </w:tc>
        <w:tc>
          <w:tcPr>
            <w:tcW w:w="5245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</w:rPr>
              <w:t>6307,698</w:t>
            </w:r>
          </w:p>
        </w:tc>
      </w:tr>
      <w:tr w:rsidR="00AF23A0" w:rsidRPr="002B1AD6" w:rsidTr="00D70A7E">
        <w:trPr>
          <w:trHeight w:val="417"/>
        </w:trPr>
        <w:tc>
          <w:tcPr>
            <w:tcW w:w="4179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2000</w:t>
            </w:r>
          </w:p>
        </w:tc>
        <w:tc>
          <w:tcPr>
            <w:tcW w:w="5245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</w:rPr>
              <w:t>6011,615</w:t>
            </w:r>
          </w:p>
        </w:tc>
      </w:tr>
      <w:tr w:rsidR="00AF23A0" w:rsidRPr="002B1AD6" w:rsidTr="00D70A7E">
        <w:trPr>
          <w:trHeight w:val="422"/>
        </w:trPr>
        <w:tc>
          <w:tcPr>
            <w:tcW w:w="4179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2001</w:t>
            </w:r>
          </w:p>
        </w:tc>
        <w:tc>
          <w:tcPr>
            <w:tcW w:w="5245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</w:rPr>
              <w:t>6609,206</w:t>
            </w:r>
          </w:p>
        </w:tc>
      </w:tr>
      <w:tr w:rsidR="00AF23A0" w:rsidRPr="002B1AD6" w:rsidTr="00D70A7E">
        <w:trPr>
          <w:trHeight w:val="414"/>
        </w:trPr>
        <w:tc>
          <w:tcPr>
            <w:tcW w:w="4179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2002</w:t>
            </w:r>
          </w:p>
        </w:tc>
        <w:tc>
          <w:tcPr>
            <w:tcW w:w="5245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</w:rPr>
              <w:t>8032,897</w:t>
            </w:r>
          </w:p>
        </w:tc>
      </w:tr>
      <w:tr w:rsidR="00AF23A0" w:rsidRPr="002B1AD6" w:rsidTr="00D70A7E">
        <w:trPr>
          <w:trHeight w:val="421"/>
        </w:trPr>
        <w:tc>
          <w:tcPr>
            <w:tcW w:w="4179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2003</w:t>
            </w:r>
          </w:p>
        </w:tc>
        <w:tc>
          <w:tcPr>
            <w:tcW w:w="5245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</w:rPr>
              <w:t>9773,118</w:t>
            </w:r>
          </w:p>
        </w:tc>
      </w:tr>
      <w:tr w:rsidR="00AF23A0" w:rsidRPr="002B1AD6" w:rsidTr="00D70A7E">
        <w:trPr>
          <w:trHeight w:val="413"/>
        </w:trPr>
        <w:tc>
          <w:tcPr>
            <w:tcW w:w="4179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2004</w:t>
            </w:r>
          </w:p>
        </w:tc>
        <w:tc>
          <w:tcPr>
            <w:tcW w:w="5245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</w:rPr>
              <w:t>11685,887</w:t>
            </w:r>
          </w:p>
        </w:tc>
      </w:tr>
      <w:tr w:rsidR="00AF23A0" w:rsidRPr="002B1AD6" w:rsidTr="00D70A7E">
        <w:trPr>
          <w:trHeight w:val="418"/>
        </w:trPr>
        <w:tc>
          <w:tcPr>
            <w:tcW w:w="4179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2005</w:t>
            </w:r>
          </w:p>
        </w:tc>
        <w:tc>
          <w:tcPr>
            <w:tcW w:w="5245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</w:rPr>
              <w:t>13346,176</w:t>
            </w:r>
          </w:p>
        </w:tc>
      </w:tr>
      <w:tr w:rsidR="00AF23A0" w:rsidRPr="002B1AD6" w:rsidTr="00D70A7E">
        <w:trPr>
          <w:trHeight w:val="410"/>
        </w:trPr>
        <w:tc>
          <w:tcPr>
            <w:tcW w:w="4179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2006</w:t>
            </w:r>
          </w:p>
        </w:tc>
        <w:tc>
          <w:tcPr>
            <w:tcW w:w="5245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</w:rPr>
              <w:t>15183,636</w:t>
            </w:r>
          </w:p>
        </w:tc>
      </w:tr>
      <w:tr w:rsidR="00AF23A0" w:rsidRPr="002B1AD6" w:rsidTr="00D70A7E">
        <w:trPr>
          <w:trHeight w:val="417"/>
        </w:trPr>
        <w:tc>
          <w:tcPr>
            <w:tcW w:w="4179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2007</w:t>
            </w:r>
          </w:p>
        </w:tc>
        <w:tc>
          <w:tcPr>
            <w:tcW w:w="5245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</w:rPr>
              <w:t>18373,649</w:t>
            </w:r>
          </w:p>
        </w:tc>
      </w:tr>
      <w:tr w:rsidR="00AF23A0" w:rsidRPr="002B1AD6" w:rsidTr="00D70A7E">
        <w:trPr>
          <w:trHeight w:val="423"/>
        </w:trPr>
        <w:tc>
          <w:tcPr>
            <w:tcW w:w="4179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2008</w:t>
            </w:r>
          </w:p>
        </w:tc>
        <w:tc>
          <w:tcPr>
            <w:tcW w:w="5245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</w:rPr>
              <w:t>22698,854</w:t>
            </w:r>
          </w:p>
        </w:tc>
      </w:tr>
      <w:tr w:rsidR="00AF23A0" w:rsidRPr="002B1AD6" w:rsidTr="00D70A7E">
        <w:trPr>
          <w:trHeight w:val="415"/>
        </w:trPr>
        <w:tc>
          <w:tcPr>
            <w:tcW w:w="4179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2009</w:t>
            </w:r>
          </w:p>
        </w:tc>
        <w:tc>
          <w:tcPr>
            <w:tcW w:w="5245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</w:rPr>
              <w:t>19741,598</w:t>
            </w:r>
          </w:p>
        </w:tc>
      </w:tr>
      <w:tr w:rsidR="00AF23A0" w:rsidRPr="002B1AD6" w:rsidTr="00D70A7E">
        <w:trPr>
          <w:trHeight w:val="406"/>
        </w:trPr>
        <w:tc>
          <w:tcPr>
            <w:tcW w:w="4179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</w:t>
            </w:r>
          </w:p>
        </w:tc>
        <w:tc>
          <w:tcPr>
            <w:tcW w:w="5245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</w:rPr>
              <w:t>19808,071</w:t>
            </w:r>
          </w:p>
        </w:tc>
      </w:tr>
      <w:tr w:rsidR="00AF23A0" w:rsidRPr="002B1AD6" w:rsidTr="00D70A7E">
        <w:trPr>
          <w:trHeight w:val="427"/>
        </w:trPr>
        <w:tc>
          <w:tcPr>
            <w:tcW w:w="4179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2011</w:t>
            </w:r>
          </w:p>
        </w:tc>
        <w:tc>
          <w:tcPr>
            <w:tcW w:w="5245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</w:rPr>
              <w:t>21717,458</w:t>
            </w:r>
          </w:p>
        </w:tc>
      </w:tr>
      <w:tr w:rsidR="00AF23A0" w:rsidRPr="002B1AD6" w:rsidTr="00D70A7E">
        <w:trPr>
          <w:trHeight w:val="405"/>
        </w:trPr>
        <w:tc>
          <w:tcPr>
            <w:tcW w:w="4179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2012</w:t>
            </w:r>
          </w:p>
        </w:tc>
        <w:tc>
          <w:tcPr>
            <w:tcW w:w="5245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</w:rPr>
              <w:t>19729,871</w:t>
            </w:r>
          </w:p>
        </w:tc>
      </w:tr>
      <w:tr w:rsidR="00AF23A0" w:rsidRPr="002B1AD6" w:rsidTr="00D70A7E">
        <w:trPr>
          <w:trHeight w:val="410"/>
        </w:trPr>
        <w:tc>
          <w:tcPr>
            <w:tcW w:w="4179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2013</w:t>
            </w:r>
          </w:p>
        </w:tc>
        <w:tc>
          <w:tcPr>
            <w:tcW w:w="5245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</w:rPr>
              <w:t>19916,019</w:t>
            </w:r>
          </w:p>
        </w:tc>
      </w:tr>
      <w:tr w:rsidR="00AF23A0" w:rsidRPr="002B1AD6" w:rsidTr="00D70A7E">
        <w:trPr>
          <w:trHeight w:val="416"/>
        </w:trPr>
        <w:tc>
          <w:tcPr>
            <w:tcW w:w="4179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2014</w:t>
            </w:r>
          </w:p>
        </w:tc>
        <w:tc>
          <w:tcPr>
            <w:tcW w:w="5245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</w:rPr>
              <w:t>19744,559</w:t>
            </w:r>
          </w:p>
        </w:tc>
      </w:tr>
      <w:tr w:rsidR="00AF23A0" w:rsidRPr="002B1AD6" w:rsidTr="00D70A7E">
        <w:trPr>
          <w:trHeight w:val="423"/>
        </w:trPr>
        <w:tc>
          <w:tcPr>
            <w:tcW w:w="4179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2015</w:t>
            </w:r>
          </w:p>
        </w:tc>
        <w:tc>
          <w:tcPr>
            <w:tcW w:w="5245" w:type="dxa"/>
            <w:vAlign w:val="center"/>
          </w:tcPr>
          <w:p w:rsidR="00AF23A0" w:rsidRPr="00CF613C" w:rsidRDefault="00AF23A0" w:rsidP="00D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</w:rPr>
              <w:t>17715,617</w:t>
            </w:r>
          </w:p>
        </w:tc>
      </w:tr>
      <w:tr w:rsidR="00D45B60" w:rsidRPr="00CF613C" w:rsidTr="00D45B60">
        <w:trPr>
          <w:trHeight w:val="423"/>
        </w:trPr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B60" w:rsidRPr="00CF613C" w:rsidRDefault="00D45B60" w:rsidP="00D70A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2016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B60" w:rsidRPr="00CF613C" w:rsidRDefault="00D45B60" w:rsidP="00D70A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</w:rPr>
              <w:t>18483,716</w:t>
            </w:r>
          </w:p>
        </w:tc>
      </w:tr>
      <w:tr w:rsidR="00D45B60" w:rsidRPr="00CF613C" w:rsidTr="00D45B60">
        <w:trPr>
          <w:trHeight w:val="423"/>
        </w:trPr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B60" w:rsidRPr="00CF613C" w:rsidRDefault="00D45B60" w:rsidP="00D70A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2017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B60" w:rsidRPr="00CF613C" w:rsidRDefault="00D45B60" w:rsidP="00D70A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13C">
              <w:rPr>
                <w:rFonts w:ascii="Times New Roman" w:hAnsi="Times New Roman" w:cs="Times New Roman"/>
                <w:sz w:val="24"/>
                <w:szCs w:val="24"/>
              </w:rPr>
              <w:t>20368,139</w:t>
            </w:r>
          </w:p>
        </w:tc>
      </w:tr>
    </w:tbl>
    <w:p w:rsidR="00AF23A0" w:rsidRDefault="00AF23A0" w:rsidP="00D45B60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45B60" w:rsidRPr="00D45B60" w:rsidRDefault="00D45B60" w:rsidP="00D45B60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75B9D" w:rsidRDefault="00475B9D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cs-CZ"/>
        </w:rPr>
      </w:pPr>
    </w:p>
    <w:p w:rsidR="00475B9D" w:rsidRPr="00130E23" w:rsidRDefault="00D45B60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D45B60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940425" cy="4586154"/>
            <wp:effectExtent l="19050" t="0" r="22225" b="4896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475B9D" w:rsidRPr="00130E23">
        <w:rPr>
          <w:rFonts w:ascii="Times New Roman" w:hAnsi="Times New Roman" w:cs="Times New Roman"/>
          <w:sz w:val="24"/>
          <w:szCs w:val="24"/>
          <w:lang w:val="cs-CZ"/>
        </w:rPr>
        <w:t>Slope = 51,791</w:t>
      </w:r>
    </w:p>
    <w:p w:rsidR="00475B9D" w:rsidRDefault="00475B9D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Correlation = 0,802</w:t>
      </w:r>
    </w:p>
    <w:p w:rsidR="00475B9D" w:rsidRDefault="00475B9D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,6432</w:t>
      </w:r>
      <w:proofErr w:type="gramEnd"/>
    </w:p>
    <w:p w:rsidR="00475B9D" w:rsidRDefault="00475B9D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Y-Intercept = -256321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,687</w:t>
      </w:r>
      <w:proofErr w:type="gramEnd"/>
    </w:p>
    <w:p w:rsidR="00475B9D" w:rsidRPr="00475B9D" w:rsidRDefault="00475B9D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Function (y) = </w:t>
      </w:r>
      <w:r w:rsidRPr="00475B9D">
        <w:rPr>
          <w:rFonts w:ascii="Times New Roman" w:hAnsi="Times New Roman" w:cs="Times New Roman"/>
          <w:b/>
          <w:sz w:val="24"/>
          <w:szCs w:val="24"/>
          <w:lang w:val="en-US"/>
        </w:rPr>
        <w:t>51.791x – 256321.74</w:t>
      </w:r>
    </w:p>
    <w:p w:rsidR="00475B9D" w:rsidRDefault="00475B9D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P-value = 4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,81557E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-07 &lt; 0,05</w:t>
      </w:r>
    </w:p>
    <w:p w:rsidR="00475B9D" w:rsidRDefault="00475B9D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Average coefficient of elasticity = 22,192</w:t>
      </w:r>
    </w:p>
    <w:p w:rsidR="00475B9D" w:rsidRDefault="00475B9D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Mean approximation error = 40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,88</w:t>
      </w:r>
      <w:proofErr w:type="gramEnd"/>
    </w:p>
    <w:p w:rsidR="00475B9D" w:rsidRPr="002401D2" w:rsidRDefault="00F77CA4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7CA4">
        <w:rPr>
          <w:rFonts w:ascii="Times New Roman" w:hAnsi="Times New Roman" w:cs="Times New Roman"/>
          <w:sz w:val="24"/>
          <w:szCs w:val="24"/>
          <w:lang w:val="en-US"/>
        </w:rPr>
        <w:t>Na stupnici Cheddok je vztah mezi znakem Y a faktorem X vysoký a přímý.</w:t>
      </w:r>
    </w:p>
    <w:p w:rsidR="00F77CA4" w:rsidRDefault="00F77CA4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7CA4">
        <w:rPr>
          <w:rFonts w:ascii="Times New Roman" w:hAnsi="Times New Roman" w:cs="Times New Roman"/>
          <w:sz w:val="24"/>
          <w:szCs w:val="24"/>
          <w:lang w:val="en-US"/>
        </w:rPr>
        <w:t xml:space="preserve">Podle tabulky </w:t>
      </w:r>
      <w:r>
        <w:rPr>
          <w:rFonts w:ascii="Times New Roman" w:hAnsi="Times New Roman" w:cs="Times New Roman"/>
          <w:sz w:val="24"/>
          <w:szCs w:val="24"/>
          <w:lang w:val="en-US"/>
        </w:rPr>
        <w:t>Studentas hladinou významnosti ɑ</w:t>
      </w:r>
      <w:r w:rsidRPr="00F77CA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  <w:proofErr w:type="gramStart"/>
      <w:r w:rsidRPr="00F77CA4">
        <w:rPr>
          <w:rFonts w:ascii="Times New Roman" w:hAnsi="Times New Roman" w:cs="Times New Roman"/>
          <w:sz w:val="24"/>
          <w:szCs w:val="24"/>
          <w:lang w:val="en-US"/>
        </w:rPr>
        <w:t>,05</w:t>
      </w:r>
      <w:proofErr w:type="gramEnd"/>
      <w:r w:rsidRPr="00F77CA4">
        <w:rPr>
          <w:rFonts w:ascii="Times New Roman" w:hAnsi="Times New Roman" w:cs="Times New Roman"/>
          <w:sz w:val="24"/>
          <w:szCs w:val="24"/>
          <w:lang w:val="en-US"/>
        </w:rPr>
        <w:t xml:space="preserve"> a stupněm</w:t>
      </w:r>
      <w:r>
        <w:rPr>
          <w:rFonts w:ascii="Times New Roman" w:hAnsi="Times New Roman" w:cs="Times New Roman"/>
          <w:sz w:val="24"/>
          <w:szCs w:val="24"/>
          <w:lang w:val="en-US"/>
        </w:rPr>
        <w:t>i volnosti K = 26 se nalézá 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krit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(26; 0,025) = 2,056, kde m</w:t>
      </w:r>
      <w:r w:rsidRPr="00F77CA4">
        <w:rPr>
          <w:rFonts w:ascii="Times New Roman" w:hAnsi="Times New Roman" w:cs="Times New Roman"/>
          <w:sz w:val="24"/>
          <w:szCs w:val="24"/>
          <w:lang w:val="en-US"/>
        </w:rPr>
        <w:t xml:space="preserve"> = 1 je poč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et vysvětlujících proměnných.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pozor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6,845. Protože |t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pozor</w:t>
      </w:r>
      <w:r>
        <w:rPr>
          <w:rFonts w:ascii="Times New Roman" w:hAnsi="Times New Roman" w:cs="Times New Roman"/>
          <w:sz w:val="24"/>
          <w:szCs w:val="24"/>
          <w:lang w:val="en-US"/>
        </w:rPr>
        <w:t>| &gt; 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krit</w:t>
      </w:r>
      <w:r>
        <w:rPr>
          <w:rFonts w:ascii="Times New Roman" w:hAnsi="Times New Roman" w:cs="Times New Roman"/>
          <w:sz w:val="24"/>
          <w:szCs w:val="24"/>
          <w:lang w:val="en-US"/>
        </w:rPr>
        <w:t>, pak o</w:t>
      </w:r>
      <w:r w:rsidRPr="00F77CA4">
        <w:rPr>
          <w:rFonts w:ascii="Times New Roman" w:hAnsi="Times New Roman" w:cs="Times New Roman"/>
          <w:sz w:val="24"/>
          <w:szCs w:val="24"/>
          <w:lang w:val="en-US"/>
        </w:rPr>
        <w:t>dmítáme hypotézu rovnosti 0 korelačního koeficientu. Jinými slovy, korelační koeficient je statisticky významný.</w:t>
      </w:r>
    </w:p>
    <w:p w:rsidR="00F77CA4" w:rsidRDefault="009770BE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70BE">
        <w:rPr>
          <w:rFonts w:ascii="Times New Roman" w:hAnsi="Times New Roman" w:cs="Times New Roman"/>
          <w:sz w:val="24"/>
          <w:szCs w:val="24"/>
          <w:lang w:val="en-US"/>
        </w:rPr>
        <w:t xml:space="preserve">Byla studována závislost Y </w:t>
      </w:r>
      <w:proofErr w:type="gramStart"/>
      <w:r w:rsidRPr="009770BE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gramEnd"/>
      <w:r w:rsidRPr="009770BE">
        <w:rPr>
          <w:rFonts w:ascii="Times New Roman" w:hAnsi="Times New Roman" w:cs="Times New Roman"/>
          <w:sz w:val="24"/>
          <w:szCs w:val="24"/>
          <w:lang w:val="en-US"/>
        </w:rPr>
        <w:t xml:space="preserve"> X. Ve fázi specifikace byla zvolena párová lineární regrese. Jeho parametry jsou odhadnuty metodou nejmenších čtverců. Statistická významnost rovnice je ověřena pomocí určovacího koe</w:t>
      </w:r>
      <w:r>
        <w:rPr>
          <w:rFonts w:ascii="Times New Roman" w:hAnsi="Times New Roman" w:cs="Times New Roman"/>
          <w:sz w:val="24"/>
          <w:szCs w:val="24"/>
          <w:lang w:val="en-US"/>
        </w:rPr>
        <w:t>ficientu a Fisherova kritéria. R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,802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0,6432, tj. v</w:t>
      </w:r>
      <w:r w:rsidRPr="009770BE">
        <w:rPr>
          <w:rFonts w:ascii="Times New Roman" w:hAnsi="Times New Roman" w:cs="Times New Roman"/>
          <w:sz w:val="24"/>
          <w:szCs w:val="24"/>
          <w:lang w:val="en-US"/>
        </w:rPr>
        <w:t>e studované situaci v 64,</w:t>
      </w:r>
      <w:r>
        <w:rPr>
          <w:rFonts w:ascii="Times New Roman" w:hAnsi="Times New Roman" w:cs="Times New Roman"/>
          <w:sz w:val="24"/>
          <w:szCs w:val="24"/>
          <w:lang w:val="en-US"/>
        </w:rPr>
        <w:t>32% případů obecné variability Y</w:t>
      </w:r>
      <w:r w:rsidRPr="009770BE">
        <w:rPr>
          <w:rFonts w:ascii="Times New Roman" w:hAnsi="Times New Roman" w:cs="Times New Roman"/>
          <w:sz w:val="24"/>
          <w:szCs w:val="24"/>
          <w:lang w:val="en-US"/>
        </w:rPr>
        <w:t xml:space="preserve"> je vysvětleno změnou v X. Jinými slovy, přesnost výběru regresní rovnice je průměrná. Zbývajících 35</w:t>
      </w:r>
      <w:proofErr w:type="gramStart"/>
      <w:r w:rsidRPr="009770BE">
        <w:rPr>
          <w:rFonts w:ascii="Times New Roman" w:hAnsi="Times New Roman" w:cs="Times New Roman"/>
          <w:sz w:val="24"/>
          <w:szCs w:val="24"/>
          <w:lang w:val="en-US"/>
        </w:rPr>
        <w:t>,68</w:t>
      </w:r>
      <w:proofErr w:type="gramEnd"/>
      <w:r w:rsidRPr="009770BE">
        <w:rPr>
          <w:rFonts w:ascii="Times New Roman" w:hAnsi="Times New Roman" w:cs="Times New Roman"/>
          <w:sz w:val="24"/>
          <w:szCs w:val="24"/>
          <w:lang w:val="en-US"/>
        </w:rPr>
        <w:t xml:space="preserve">% změn Y je způsobeno </w:t>
      </w:r>
      <w:r w:rsidRPr="009770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faktory, které nejsou v modelu zohledněny (stejně jako chybami specifikace). Bylo také zjištěno, že parametry modelu jsou statisticky významné. Koeficient pružnosti je větší než 1. Proto, když se X změní o 1%, Y se změní o více než 1%. Jinými slovy, X významně ovlivňuje Y. Je možná ekonomická interpretace parametrů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modelu - zvýšení X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jednotku</w:t>
      </w:r>
      <w:r w:rsidRPr="009770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01D2">
        <w:rPr>
          <w:rFonts w:ascii="Times New Roman" w:hAnsi="Times New Roman" w:cs="Times New Roman"/>
          <w:sz w:val="24"/>
          <w:szCs w:val="24"/>
          <w:lang w:val="cs-CZ"/>
        </w:rPr>
        <w:t xml:space="preserve">způsobí </w:t>
      </w:r>
      <w:r w:rsidRPr="009770BE"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9770BE">
        <w:rPr>
          <w:rFonts w:ascii="Times New Roman" w:hAnsi="Times New Roman" w:cs="Times New Roman"/>
          <w:sz w:val="24"/>
          <w:szCs w:val="24"/>
          <w:lang w:val="en-US"/>
        </w:rPr>
        <w:t xml:space="preserve"> průměru</w:t>
      </w:r>
      <w:r w:rsidR="002401D2">
        <w:rPr>
          <w:rFonts w:ascii="Times New Roman" w:hAnsi="Times New Roman" w:cs="Times New Roman"/>
          <w:sz w:val="24"/>
          <w:szCs w:val="24"/>
          <w:lang w:val="en-US"/>
        </w:rPr>
        <w:t xml:space="preserve"> zvýšení Y</w:t>
      </w:r>
      <w:bookmarkStart w:id="0" w:name="_GoBack"/>
      <w:bookmarkEnd w:id="0"/>
      <w:r w:rsidRPr="009770BE">
        <w:rPr>
          <w:rFonts w:ascii="Times New Roman" w:hAnsi="Times New Roman" w:cs="Times New Roman"/>
          <w:sz w:val="24"/>
          <w:szCs w:val="24"/>
          <w:lang w:val="en-US"/>
        </w:rPr>
        <w:t xml:space="preserve"> o 51.791 jednotek.</w:t>
      </w:r>
    </w:p>
    <w:p w:rsidR="00F94E9C" w:rsidRDefault="00F94E9C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4E9C" w:rsidRDefault="00F94E9C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94E9C" w:rsidRDefault="00F94E9C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94E9C">
        <w:rPr>
          <w:rFonts w:ascii="Times New Roman" w:hAnsi="Times New Roman" w:cs="Times New Roman"/>
          <w:b/>
          <w:sz w:val="32"/>
          <w:szCs w:val="32"/>
          <w:lang w:val="en-US"/>
        </w:rPr>
        <w:t>Závěr</w:t>
      </w:r>
    </w:p>
    <w:p w:rsidR="00F94E9C" w:rsidRDefault="00F94E9C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94E9C" w:rsidRPr="00F94E9C" w:rsidRDefault="00F94E9C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4E9C">
        <w:rPr>
          <w:rFonts w:ascii="Times New Roman" w:hAnsi="Times New Roman" w:cs="Times New Roman"/>
          <w:sz w:val="24"/>
          <w:szCs w:val="24"/>
          <w:lang w:val="en-US"/>
        </w:rPr>
        <w:t xml:space="preserve">Cílem práce bylo zjistit vztah mezi lidským kapitálem České republiky a HDP </w:t>
      </w:r>
      <w:proofErr w:type="gramStart"/>
      <w:r w:rsidRPr="00F94E9C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gramEnd"/>
      <w:r w:rsidRPr="00F94E9C">
        <w:rPr>
          <w:rFonts w:ascii="Times New Roman" w:hAnsi="Times New Roman" w:cs="Times New Roman"/>
          <w:sz w:val="24"/>
          <w:szCs w:val="24"/>
          <w:lang w:val="en-US"/>
        </w:rPr>
        <w:t xml:space="preserve"> obyvatele. Jak vyplývá z výpočtů v praktické části s využitím parní lineární regrese, existuje pozitivní korelace mezi velikostí pracovní síly a HDP </w:t>
      </w:r>
      <w:proofErr w:type="gramStart"/>
      <w:r w:rsidRPr="00F94E9C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gramEnd"/>
      <w:r w:rsidRPr="00F94E9C">
        <w:rPr>
          <w:rFonts w:ascii="Times New Roman" w:hAnsi="Times New Roman" w:cs="Times New Roman"/>
          <w:sz w:val="24"/>
          <w:szCs w:val="24"/>
          <w:lang w:val="en-US"/>
        </w:rPr>
        <w:t xml:space="preserve"> obyvatele země. Je zjištěno, že vztah mezi nezávislým faktorem X a závislým atributem Y je blízko, koeficient pružnosti je 22,192&gt; 1, což znamená, že pokud se X změní 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1%, Y se změní o více než 1%. R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F94E9C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  <w:proofErr w:type="gramStart"/>
      <w:r w:rsidRPr="00F94E9C">
        <w:rPr>
          <w:rFonts w:ascii="Times New Roman" w:hAnsi="Times New Roman" w:cs="Times New Roman"/>
          <w:sz w:val="24"/>
          <w:szCs w:val="24"/>
          <w:lang w:val="en-US"/>
        </w:rPr>
        <w:t>,802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0,6432, tj. v</w:t>
      </w:r>
      <w:r w:rsidRPr="00F94E9C">
        <w:rPr>
          <w:rFonts w:ascii="Times New Roman" w:hAnsi="Times New Roman" w:cs="Times New Roman"/>
          <w:sz w:val="24"/>
          <w:szCs w:val="24"/>
          <w:lang w:val="en-US"/>
        </w:rPr>
        <w:t>e studované situaci, v 64,32% případů celkové variability Y, je to vysvětleno změnou v X. Pro vyšší přesnost variability je třeba zavést další faktory. Růst lidského kapitálu je neoddělitelně sp</w:t>
      </w:r>
      <w:r>
        <w:rPr>
          <w:rFonts w:ascii="Times New Roman" w:hAnsi="Times New Roman" w:cs="Times New Roman"/>
          <w:sz w:val="24"/>
          <w:szCs w:val="24"/>
          <w:lang w:val="en-US"/>
        </w:rPr>
        <w:t>ojen</w:t>
      </w:r>
      <w:r w:rsidRPr="00F94E9C">
        <w:rPr>
          <w:rFonts w:ascii="Times New Roman" w:hAnsi="Times New Roman" w:cs="Times New Roman"/>
          <w:sz w:val="24"/>
          <w:szCs w:val="24"/>
          <w:lang w:val="en-US"/>
        </w:rPr>
        <w:t xml:space="preserve"> s úrovní vzdělání obyvatelstva, úrovní sociální ochrany, zdravotní péče a zvyšováním kvality života. Je třeba mít </w:t>
      </w:r>
      <w:proofErr w:type="gramStart"/>
      <w:r w:rsidRPr="00F94E9C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gramEnd"/>
      <w:r w:rsidRPr="00F94E9C">
        <w:rPr>
          <w:rFonts w:ascii="Times New Roman" w:hAnsi="Times New Roman" w:cs="Times New Roman"/>
          <w:sz w:val="24"/>
          <w:szCs w:val="24"/>
          <w:lang w:val="en-US"/>
        </w:rPr>
        <w:t xml:space="preserve"> paměti, že faktory ovlivňující lidský kapitál ovlivní také HDP. Tato hypotéza proto zahrnuje další výzkum s rozšířením faktorů, aby byl přesnější.</w:t>
      </w:r>
    </w:p>
    <w:p w:rsidR="00F94E9C" w:rsidRDefault="00F94E9C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364FA" w:rsidRDefault="004364FA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64FA">
        <w:rPr>
          <w:rFonts w:ascii="Times New Roman" w:hAnsi="Times New Roman" w:cs="Times New Roman"/>
          <w:b/>
          <w:sz w:val="32"/>
          <w:szCs w:val="32"/>
          <w:lang w:val="en-US"/>
        </w:rPr>
        <w:t>Zdroje</w:t>
      </w:r>
    </w:p>
    <w:p w:rsidR="004364FA" w:rsidRDefault="004364FA" w:rsidP="00130E23">
      <w:pPr>
        <w:tabs>
          <w:tab w:val="left" w:pos="10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364FA" w:rsidRDefault="00E2576A" w:rsidP="00130E23">
      <w:pPr>
        <w:pStyle w:val="a6"/>
        <w:numPr>
          <w:ilvl w:val="0"/>
          <w:numId w:val="1"/>
        </w:numPr>
        <w:tabs>
          <w:tab w:val="left" w:pos="101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Политика доходов и заработной платы. Авторский коллектив под редакцией д.э.н., профессора П.В. Савченко, д.э.н., профессора Ю.П. Кокина – Юристь, 2000 стр.</w:t>
      </w:r>
    </w:p>
    <w:p w:rsidR="00E2576A" w:rsidRPr="00130E23" w:rsidRDefault="002401D2" w:rsidP="00130E23">
      <w:pPr>
        <w:pStyle w:val="a6"/>
        <w:tabs>
          <w:tab w:val="left" w:pos="101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11" w:history="1">
        <w:r w:rsidR="00E2576A"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E2576A" w:rsidRPr="001C54EA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="00E2576A"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E2576A" w:rsidRPr="001C54EA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E2576A"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bibliotekar</w:t>
        </w:r>
        <w:r w:rsidR="00E2576A" w:rsidRPr="001C54EA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E2576A"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="00E2576A" w:rsidRPr="001C54EA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="00E2576A"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dohody</w:t>
        </w:r>
        <w:r w:rsidR="00E2576A" w:rsidRPr="001C54EA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="00E2576A"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zarplata</w:t>
        </w:r>
        <w:r w:rsidR="00E2576A" w:rsidRPr="00E2576A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/11.</w:t>
        </w:r>
        <w:r w:rsidR="00E2576A"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htm</w:t>
        </w:r>
      </w:hyperlink>
    </w:p>
    <w:p w:rsidR="00E2576A" w:rsidRPr="00130E23" w:rsidRDefault="00E2576A" w:rsidP="00130E23">
      <w:pPr>
        <w:pStyle w:val="a6"/>
        <w:tabs>
          <w:tab w:val="left" w:pos="101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15605" w:rsidRPr="00915605" w:rsidRDefault="00E2576A" w:rsidP="00130E23">
      <w:pPr>
        <w:pStyle w:val="a6"/>
        <w:numPr>
          <w:ilvl w:val="0"/>
          <w:numId w:val="1"/>
        </w:numPr>
        <w:tabs>
          <w:tab w:val="left" w:pos="101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Эрик Л. Найман. Малая энциклопедия трейдера, стр </w:t>
      </w:r>
      <w:hyperlink r:id="rId12" w:history="1">
        <w:r w:rsidR="00915605"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915605" w:rsidRPr="001C54EA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="00915605"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915605" w:rsidRPr="001C54EA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915605"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bibliotekar</w:t>
        </w:r>
        <w:r w:rsidR="00915605" w:rsidRPr="001C54EA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915605"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="00915605" w:rsidRPr="001C54EA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="00915605"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finance</w:t>
        </w:r>
        <w:r w:rsidR="00915605" w:rsidRPr="001C54EA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-6/8.</w:t>
        </w:r>
        <w:r w:rsidR="00915605"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htm</w:t>
        </w:r>
      </w:hyperlink>
    </w:p>
    <w:p w:rsidR="00915605" w:rsidRPr="00915605" w:rsidRDefault="00915605" w:rsidP="00130E23">
      <w:pPr>
        <w:pStyle w:val="a6"/>
        <w:tabs>
          <w:tab w:val="left" w:pos="101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15605" w:rsidRDefault="00915605" w:rsidP="00130E23">
      <w:pPr>
        <w:pStyle w:val="a6"/>
        <w:numPr>
          <w:ilvl w:val="0"/>
          <w:numId w:val="1"/>
        </w:numPr>
        <w:tabs>
          <w:tab w:val="left" w:pos="101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Jacob Funk Kirkegaard (PIIE). Positive Signs in European Labor Markets in 10 Charts</w:t>
      </w:r>
    </w:p>
    <w:p w:rsidR="00915605" w:rsidRPr="00915605" w:rsidRDefault="00915605" w:rsidP="00130E23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15605" w:rsidRDefault="00915605" w:rsidP="00130E23">
      <w:pPr>
        <w:pStyle w:val="a6"/>
        <w:numPr>
          <w:ilvl w:val="0"/>
          <w:numId w:val="1"/>
        </w:numPr>
        <w:tabs>
          <w:tab w:val="left" w:pos="101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Index 2019, Global Findex. </w:t>
      </w:r>
      <w:hyperlink r:id="rId13" w:history="1"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https://www.heritage.org/index/country/czechrepublic</w:t>
        </w:r>
      </w:hyperlink>
    </w:p>
    <w:p w:rsidR="00915605" w:rsidRPr="00915605" w:rsidRDefault="00915605" w:rsidP="00130E23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15605" w:rsidRDefault="00915605" w:rsidP="00130E23">
      <w:pPr>
        <w:pStyle w:val="a6"/>
        <w:numPr>
          <w:ilvl w:val="0"/>
          <w:numId w:val="1"/>
        </w:numPr>
        <w:tabs>
          <w:tab w:val="left" w:pos="101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OECD Insights: human capital. </w:t>
      </w:r>
      <w:r>
        <w:rPr>
          <w:rFonts w:ascii="Times New Roman" w:hAnsi="Times New Roman" w:cs="Times New Roman"/>
          <w:sz w:val="24"/>
          <w:szCs w:val="24"/>
          <w:lang w:val="ru-RU"/>
        </w:rPr>
        <w:t>ОЭСР</w:t>
      </w:r>
      <w:r w:rsidR="007878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Factbook 2006. </w:t>
      </w:r>
      <w:hyperlink r:id="rId14" w:history="1"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http://dx.doi.org/10.1787/511708367123</w:t>
        </w:r>
      </w:hyperlink>
    </w:p>
    <w:p w:rsidR="00915605" w:rsidRPr="00915605" w:rsidRDefault="00915605" w:rsidP="00130E23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13E22" w:rsidRDefault="007A68CB" w:rsidP="00130E23">
      <w:pPr>
        <w:pStyle w:val="a6"/>
        <w:numPr>
          <w:ilvl w:val="0"/>
          <w:numId w:val="1"/>
        </w:numPr>
        <w:tabs>
          <w:tab w:val="left" w:pos="101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Grainne Ketelaar. Active citizenship and work: what and where is the strategic vision? (December 2010) Work, employment and society, Vol. 24, </w:t>
      </w:r>
      <w:r>
        <w:rPr>
          <w:rFonts w:ascii="Times New Roman" w:hAnsi="Times New Roman" w:cs="Times New Roman"/>
          <w:sz w:val="24"/>
          <w:szCs w:val="24"/>
          <w:lang w:val="ru-RU"/>
        </w:rPr>
        <w:t>№</w:t>
      </w:r>
      <w:r w:rsidR="00A13E22">
        <w:rPr>
          <w:rFonts w:ascii="Times New Roman" w:hAnsi="Times New Roman" w:cs="Times New Roman"/>
          <w:sz w:val="24"/>
          <w:szCs w:val="24"/>
          <w:lang w:val="en-US"/>
        </w:rPr>
        <w:t>4, December 2010, p.812-823</w:t>
      </w:r>
    </w:p>
    <w:p w:rsidR="00A13E22" w:rsidRPr="00A13E22" w:rsidRDefault="00A13E22" w:rsidP="00130E23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15605" w:rsidRPr="00130E23" w:rsidRDefault="00A13E22" w:rsidP="00130E23">
      <w:pPr>
        <w:pStyle w:val="a6"/>
        <w:numPr>
          <w:ilvl w:val="0"/>
          <w:numId w:val="1"/>
        </w:numPr>
        <w:tabs>
          <w:tab w:val="left" w:pos="101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Обзор состояния экономики и основных направлений внешнеэкономической деятельности в Чехии в 2016 году. </w:t>
      </w:r>
      <w:hyperlink r:id="rId15" w:history="1"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130E23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docplayer</w:t>
        </w:r>
        <w:r w:rsidRPr="00130E23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Pr="00130E23">
          <w:rPr>
            <w:rStyle w:val="a3"/>
            <w:rFonts w:ascii="Times New Roman" w:hAnsi="Times New Roman" w:cs="Times New Roman"/>
            <w:sz w:val="24"/>
            <w:szCs w:val="24"/>
          </w:rPr>
          <w:t>/51171463-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Obzor</w:t>
        </w:r>
        <w:r w:rsidRPr="00130E23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sostoyania</w:t>
        </w:r>
        <w:r w:rsidRPr="00130E23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ekonomiki</w:t>
        </w:r>
        <w:r w:rsidRPr="00130E23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</w:t>
        </w:r>
        <w:r w:rsidRPr="00130E23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osnovnyh</w:t>
        </w:r>
        <w:r w:rsidRPr="00130E23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napravleniy</w:t>
        </w:r>
        <w:r w:rsidRPr="00130E23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vneshneekonomicheskoy</w:t>
        </w:r>
        <w:r w:rsidRPr="00130E23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deyatelnosti</w:t>
        </w:r>
        <w:r w:rsidRPr="00130E23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chechii</w:t>
        </w:r>
        <w:r w:rsidRPr="00130E23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</w:t>
        </w:r>
        <w:r w:rsidRPr="00130E23">
          <w:rPr>
            <w:rStyle w:val="a3"/>
            <w:rFonts w:ascii="Times New Roman" w:hAnsi="Times New Roman" w:cs="Times New Roman"/>
            <w:sz w:val="24"/>
            <w:szCs w:val="24"/>
          </w:rPr>
          <w:t>-2016-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godu</w:t>
        </w:r>
        <w:r w:rsidRPr="00130E23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</w:p>
    <w:p w:rsidR="00A13E22" w:rsidRPr="00130E23" w:rsidRDefault="00A13E22" w:rsidP="00130E23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13E22" w:rsidRPr="00A13E22" w:rsidRDefault="00A13E22" w:rsidP="00130E23">
      <w:pPr>
        <w:pStyle w:val="a6"/>
        <w:numPr>
          <w:ilvl w:val="0"/>
          <w:numId w:val="1"/>
        </w:numPr>
        <w:tabs>
          <w:tab w:val="left" w:pos="101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Рынок труда и доходы населения. Учебное пособие. Под общей редакцией д.э.н., профессора Н.А. Волгина – М, 1999, стр. </w:t>
      </w:r>
      <w:hyperlink r:id="rId16" w:history="1"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bibliotekar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rynok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truda-i-dohody/15.htm</w:t>
        </w:r>
      </w:hyperlink>
    </w:p>
    <w:p w:rsidR="00A13E22" w:rsidRPr="00A13E22" w:rsidRDefault="00A13E22" w:rsidP="00130E23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13E22" w:rsidRDefault="00A13E22" w:rsidP="00130E23">
      <w:pPr>
        <w:pStyle w:val="a6"/>
        <w:numPr>
          <w:ilvl w:val="0"/>
          <w:numId w:val="1"/>
        </w:numPr>
        <w:tabs>
          <w:tab w:val="left" w:pos="101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Úroven vzdělaní ekonomický zaměstnaných. Ceska republika. 2007 – 2016. Ceský statistický úřad, Věřejná databáze, VSPS/B </w:t>
      </w:r>
      <w:hyperlink r:id="rId17" w:history="1"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cs-CZ"/>
          </w:rPr>
          <w:t>https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://www.czso.cz/csu/gender/1-gender_pracemzdy</w:t>
        </w:r>
      </w:hyperlink>
    </w:p>
    <w:p w:rsidR="00A13E22" w:rsidRPr="00A13E22" w:rsidRDefault="00A13E22" w:rsidP="00130E23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13E22" w:rsidRPr="00130E23" w:rsidRDefault="008E13FC" w:rsidP="00130E23">
      <w:pPr>
        <w:pStyle w:val="a6"/>
        <w:numPr>
          <w:ilvl w:val="0"/>
          <w:numId w:val="1"/>
        </w:numPr>
        <w:tabs>
          <w:tab w:val="left" w:pos="101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Nazneen Ahmad, Josef J. French. Decomposing the relationships between human capital and GDP: an empirical analysis of Bangladesh, The Journal of Developing Areas,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Spring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2011. </w:t>
      </w:r>
      <w:hyperlink r:id="rId18" w:history="1"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130E23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130E23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questia</w:t>
        </w:r>
        <w:r w:rsidRPr="00130E23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130E23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read</w:t>
        </w:r>
        <w:r w:rsidRPr="00130E23">
          <w:rPr>
            <w:rStyle w:val="a3"/>
            <w:rFonts w:ascii="Times New Roman" w:hAnsi="Times New Roman" w:cs="Times New Roman"/>
            <w:sz w:val="24"/>
            <w:szCs w:val="24"/>
          </w:rPr>
          <w:t>/1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</w:t>
        </w:r>
        <w:r w:rsidRPr="00130E23">
          <w:rPr>
            <w:rStyle w:val="a3"/>
            <w:rFonts w:ascii="Times New Roman" w:hAnsi="Times New Roman" w:cs="Times New Roman"/>
            <w:sz w:val="24"/>
            <w:szCs w:val="24"/>
          </w:rPr>
          <w:t>3-2185060951/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decomposing</w:t>
        </w:r>
        <w:r w:rsidRPr="00130E23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the</w:t>
        </w:r>
        <w:r w:rsidRPr="00130E23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relationship</w:t>
        </w:r>
        <w:r w:rsidRPr="00130E23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between</w:t>
        </w:r>
        <w:r w:rsidRPr="00130E23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human</w:t>
        </w:r>
        <w:r w:rsidRPr="00130E23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capital</w:t>
        </w:r>
      </w:hyperlink>
    </w:p>
    <w:p w:rsidR="008E13FC" w:rsidRPr="00130E23" w:rsidRDefault="008E13FC" w:rsidP="00130E23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52EE" w:rsidRDefault="007E52EE" w:rsidP="00130E23">
      <w:pPr>
        <w:pStyle w:val="a6"/>
        <w:numPr>
          <w:ilvl w:val="0"/>
          <w:numId w:val="1"/>
        </w:numPr>
        <w:tabs>
          <w:tab w:val="left" w:pos="101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0E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Silvie Chudárková, Tomáš Verner. Relationship between human capital and economic growth: The case of Austria. Proceedings of 30</w:t>
      </w:r>
      <w:r w:rsidRPr="007E52E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International Conference Mathematical Methods in Economics. Project registration number is SGS/1/2012, p.</w:t>
      </w:r>
    </w:p>
    <w:p w:rsidR="007E52EE" w:rsidRPr="007E52EE" w:rsidRDefault="007E52EE" w:rsidP="00130E23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E13FC" w:rsidRDefault="00855164" w:rsidP="00130E23">
      <w:pPr>
        <w:pStyle w:val="a6"/>
        <w:numPr>
          <w:ilvl w:val="0"/>
          <w:numId w:val="1"/>
        </w:numPr>
        <w:tabs>
          <w:tab w:val="left" w:pos="101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Kargi, Bilal, Labor Force Participation Rate and Economic Growth: Observations for Turkey (April 1, 2014). Universal Journal of Management and Social Sciences, Vol. 4 </w:t>
      </w:r>
      <w:r w:rsidRPr="005A04A3">
        <w:rPr>
          <w:rFonts w:ascii="Times New Roman" w:hAnsi="Times New Roman" w:cs="Times New Roman"/>
          <w:sz w:val="24"/>
          <w:szCs w:val="24"/>
          <w:lang w:val="en-US"/>
        </w:rPr>
        <w:t>№</w:t>
      </w:r>
      <w:r>
        <w:rPr>
          <w:rFonts w:ascii="Times New Roman" w:hAnsi="Times New Roman" w:cs="Times New Roman"/>
          <w:sz w:val="24"/>
          <w:szCs w:val="24"/>
          <w:lang w:val="en-US"/>
        </w:rPr>
        <w:t>4 pp. 46-54</w:t>
      </w:r>
      <w:r w:rsidR="005A04A3">
        <w:rPr>
          <w:rFonts w:ascii="Times New Roman" w:hAnsi="Times New Roman" w:cs="Times New Roman"/>
          <w:sz w:val="24"/>
          <w:szCs w:val="24"/>
          <w:lang w:val="en-US"/>
        </w:rPr>
        <w:t>, April 2014</w:t>
      </w:r>
    </w:p>
    <w:p w:rsidR="005A04A3" w:rsidRPr="005A04A3" w:rsidRDefault="005A04A3" w:rsidP="00130E23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A04A3" w:rsidRDefault="005A04A3" w:rsidP="00130E23">
      <w:pPr>
        <w:pStyle w:val="a6"/>
        <w:numPr>
          <w:ilvl w:val="0"/>
          <w:numId w:val="1"/>
        </w:numPr>
        <w:tabs>
          <w:tab w:val="left" w:pos="101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Касим Салим, Лайба Дар, Мехвиш Шахид, Саджид Асгар Рана. Количественный анализ роли человеческих ресурсов. Развитие экономического роста в Пакистане. Международный журнал наук об управлении и бизнес-исследованиях (</w:t>
      </w:r>
      <w:r>
        <w:rPr>
          <w:rFonts w:ascii="Times New Roman" w:hAnsi="Times New Roman" w:cs="Times New Roman"/>
          <w:sz w:val="24"/>
          <w:szCs w:val="24"/>
          <w:lang w:val="en-US"/>
        </w:rPr>
        <w:t>ISSN</w:t>
      </w:r>
      <w:r w:rsidRPr="005A04A3">
        <w:rPr>
          <w:rFonts w:ascii="Times New Roman" w:hAnsi="Times New Roman" w:cs="Times New Roman"/>
          <w:sz w:val="24"/>
          <w:szCs w:val="24"/>
          <w:lang w:val="ru-RU"/>
        </w:rPr>
        <w:t>-2226-8253</w:t>
      </w:r>
      <w:r>
        <w:rPr>
          <w:rFonts w:ascii="Times New Roman" w:hAnsi="Times New Roman" w:cs="Times New Roman"/>
          <w:sz w:val="24"/>
          <w:szCs w:val="24"/>
          <w:lang w:val="ru-RU"/>
        </w:rPr>
        <w:t>)Том 1, Выпуск 2</w:t>
      </w:r>
    </w:p>
    <w:p w:rsidR="005A04A3" w:rsidRPr="005A04A3" w:rsidRDefault="005A04A3" w:rsidP="00130E23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24CA5" w:rsidRPr="00024CA5" w:rsidRDefault="005A04A3" w:rsidP="00130E23">
      <w:pPr>
        <w:pStyle w:val="a6"/>
        <w:numPr>
          <w:ilvl w:val="0"/>
          <w:numId w:val="1"/>
        </w:numPr>
        <w:tabs>
          <w:tab w:val="left" w:pos="101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Ахмет Гекче Акполат. Долгосрочное влияние инвестиций в человеческий капитал на ВВП</w:t>
      </w:r>
      <w:r w:rsidRPr="005A04A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групповой коинтегрированный регрессионный анализ. Международный экономический анализ, Том 2014,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статьи 646518, 10 страниц, научная статья </w:t>
      </w:r>
      <w:hyperlink r:id="rId19" w:history="1"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dx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doi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/10.</w:t>
        </w:r>
        <w:r w:rsidRPr="005A04A3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1155/</w:t>
        </w:r>
        <w:r w:rsidRPr="0043047B">
          <w:rPr>
            <w:rStyle w:val="a3"/>
            <w:rFonts w:ascii="Times New Roman" w:hAnsi="Times New Roman" w:cs="Times New Roman"/>
            <w:sz w:val="24"/>
            <w:szCs w:val="24"/>
            <w:u w:val="none"/>
            <w:lang w:val="ru-RU"/>
          </w:rPr>
          <w:t>2014</w:t>
        </w:r>
        <w:r w:rsidRPr="005A04A3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/646518</w:t>
        </w:r>
      </w:hyperlink>
    </w:p>
    <w:p w:rsidR="00024CA5" w:rsidRPr="00024CA5" w:rsidRDefault="00024CA5" w:rsidP="00130E23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A04A3" w:rsidRDefault="00024CA5" w:rsidP="00130E23">
      <w:pPr>
        <w:pStyle w:val="a6"/>
        <w:tabs>
          <w:tab w:val="left" w:pos="101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Podil</w:t>
      </w:r>
      <w:r w:rsidR="004F6E93" w:rsidRPr="002401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nezam</w:t>
      </w:r>
      <w:r>
        <w:rPr>
          <w:rFonts w:ascii="Times New Roman" w:hAnsi="Times New Roman" w:cs="Times New Roman"/>
          <w:sz w:val="24"/>
          <w:szCs w:val="24"/>
          <w:lang w:val="cs-CZ"/>
        </w:rPr>
        <w:t>ěstnaných osob. Ceský statistický úřad, Veřejná databáse Kod</w:t>
      </w:r>
      <w:r w:rsidRPr="00024CA5">
        <w:rPr>
          <w:rFonts w:ascii="Times New Roman" w:hAnsi="Times New Roman" w:cs="Times New Roman"/>
          <w:sz w:val="24"/>
          <w:szCs w:val="24"/>
          <w:lang w:val="cs-CZ"/>
        </w:rPr>
        <w:t>: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ZAMD002; Kod</w:t>
      </w:r>
      <w:r w:rsidRPr="00024CA5">
        <w:rPr>
          <w:rFonts w:ascii="Times New Roman" w:hAnsi="Times New Roman" w:cs="Times New Roman"/>
          <w:sz w:val="24"/>
          <w:szCs w:val="24"/>
          <w:lang w:val="cs-C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cs-CZ"/>
        </w:rPr>
        <w:t>ZAM12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24CA5">
        <w:rPr>
          <w:rFonts w:ascii="Times New Roman" w:hAnsi="Times New Roman" w:cs="Times New Roman"/>
          <w:sz w:val="24"/>
          <w:szCs w:val="24"/>
          <w:lang w:val="cs-CZ"/>
        </w:rPr>
        <w:t>;</w:t>
      </w:r>
    </w:p>
    <w:p w:rsidR="00024CA5" w:rsidRDefault="00024CA5" w:rsidP="00130E23">
      <w:pPr>
        <w:pStyle w:val="a6"/>
        <w:tabs>
          <w:tab w:val="left" w:pos="101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024CA5" w:rsidRDefault="004E0BDA" w:rsidP="00130E23">
      <w:pPr>
        <w:pStyle w:val="a6"/>
        <w:tabs>
          <w:tab w:val="left" w:pos="101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Nejnéně vzšší sekundární vzdělání, věková skupina 25 – 64 let podle pohlaví. Ceska republika. 2007 – 2017 Eurostat, Kod: tps00065, 2019 </w:t>
      </w:r>
      <w:hyperlink r:id="rId20" w:history="1"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cs-CZ"/>
          </w:rPr>
          <w:t>https://ec.europa.eu/eurostat/tgm/refreshTableAction.do?tab=table&amp;plugin=1&amp;pcode=tps00065&amp;language=en</w:t>
        </w:r>
      </w:hyperlink>
    </w:p>
    <w:p w:rsidR="004E0BDA" w:rsidRDefault="004E0BDA" w:rsidP="00130E23">
      <w:pPr>
        <w:pStyle w:val="a6"/>
        <w:tabs>
          <w:tab w:val="left" w:pos="101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4E0BDA" w:rsidRDefault="004E0BDA" w:rsidP="00130E23">
      <w:pPr>
        <w:pStyle w:val="a6"/>
        <w:tabs>
          <w:tab w:val="left" w:pos="101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HDP na 1 obyvatele. Ceska republika. 1990 – 2017. World Bank, 2019/ B.</w:t>
      </w:r>
    </w:p>
    <w:p w:rsidR="004E0BDA" w:rsidRDefault="002401D2" w:rsidP="00130E23">
      <w:pPr>
        <w:pStyle w:val="a6"/>
        <w:tabs>
          <w:tab w:val="left" w:pos="101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hyperlink r:id="rId21" w:history="1">
        <w:r w:rsidR="004E0BDA" w:rsidRPr="001C54EA">
          <w:rPr>
            <w:rStyle w:val="a3"/>
            <w:rFonts w:ascii="Times New Roman" w:hAnsi="Times New Roman" w:cs="Times New Roman"/>
            <w:sz w:val="24"/>
            <w:szCs w:val="24"/>
            <w:lang w:val="cs-CZ"/>
          </w:rPr>
          <w:t>https://data.worldbank.org/indicator/NY.GDP.PCAP.CD?locations=CZ</w:t>
        </w:r>
      </w:hyperlink>
    </w:p>
    <w:p w:rsidR="004E0BDA" w:rsidRDefault="004E0BDA" w:rsidP="00130E23">
      <w:pPr>
        <w:pStyle w:val="a6"/>
        <w:tabs>
          <w:tab w:val="left" w:pos="101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4E0BDA" w:rsidRDefault="004E0BDA" w:rsidP="00130E23">
      <w:pPr>
        <w:pStyle w:val="a6"/>
        <w:tabs>
          <w:tab w:val="left" w:pos="101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4E0BDA" w:rsidRDefault="004E0BDA" w:rsidP="00130E23">
      <w:pPr>
        <w:pStyle w:val="a6"/>
        <w:tabs>
          <w:tab w:val="left" w:pos="101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Pracovní síla. </w:t>
      </w:r>
      <w:r>
        <w:rPr>
          <w:rFonts w:ascii="Times New Roman" w:hAnsi="Times New Roman" w:cs="Times New Roman"/>
          <w:sz w:val="24"/>
          <w:szCs w:val="24"/>
          <w:lang w:val="en-US"/>
        </w:rPr>
        <w:t>Ceska republika. 1990 – 2017. World Bank, 2019/ A.</w:t>
      </w:r>
    </w:p>
    <w:p w:rsidR="004E0BDA" w:rsidRDefault="002401D2" w:rsidP="00130E23">
      <w:pPr>
        <w:pStyle w:val="a6"/>
        <w:tabs>
          <w:tab w:val="left" w:pos="101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2" w:history="1">
        <w:r w:rsidR="004E0BDA"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https://data.worldbank.org/indicator/SL.TLF.TOTL.IN?locations=CZ</w:t>
        </w:r>
      </w:hyperlink>
    </w:p>
    <w:p w:rsidR="004E0BDA" w:rsidRDefault="004E0BDA" w:rsidP="00130E23">
      <w:pPr>
        <w:pStyle w:val="a6"/>
        <w:tabs>
          <w:tab w:val="left" w:pos="101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E0BDA" w:rsidRPr="00130E23" w:rsidRDefault="004E0BDA" w:rsidP="00130E23">
      <w:pPr>
        <w:pStyle w:val="a6"/>
        <w:tabs>
          <w:tab w:val="left" w:pos="101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ВВП и безработица. </w:t>
      </w:r>
      <w:hyperlink r:id="rId23" w:history="1">
        <w:r w:rsidR="0092495B"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92495B" w:rsidRPr="00130E23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="0092495B"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92495B" w:rsidRPr="00130E23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92495B"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mesport</w:t>
        </w:r>
        <w:r w:rsidR="0092495B" w:rsidRPr="00130E23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92495B"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="0092495B" w:rsidRPr="00130E23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="0092495B"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index</w:t>
        </w:r>
        <w:r w:rsidR="0092495B" w:rsidRPr="00130E23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92495B"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php</w:t>
        </w:r>
        <w:r w:rsidR="0092495B" w:rsidRPr="00130E23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="0092495B" w:rsidRPr="0092495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business</w:t>
        </w:r>
        <w:r w:rsidR="0092495B" w:rsidRPr="00130E23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="0092495B" w:rsidRPr="0092495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and</w:t>
        </w:r>
        <w:r w:rsidR="0092495B" w:rsidRPr="00130E23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="0092495B" w:rsidRPr="0092495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economy</w:t>
        </w:r>
        <w:r w:rsidR="0092495B" w:rsidRPr="00130E23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/167-</w:t>
        </w:r>
        <w:r w:rsidR="0092495B"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vvp</w:t>
        </w:r>
        <w:r w:rsidR="0092495B" w:rsidRPr="00130E23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="0092495B"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</w:t>
        </w:r>
        <w:r w:rsidR="0092495B" w:rsidRPr="00130E23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="0092495B"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bezrabotitsa</w:t>
        </w:r>
      </w:hyperlink>
    </w:p>
    <w:p w:rsidR="00BA2D8E" w:rsidRPr="00130E23" w:rsidRDefault="00BA2D8E" w:rsidP="00130E23">
      <w:pPr>
        <w:pStyle w:val="a6"/>
        <w:tabs>
          <w:tab w:val="left" w:pos="101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A2D8E" w:rsidRPr="00130E23" w:rsidRDefault="00BA2D8E" w:rsidP="00130E23">
      <w:pPr>
        <w:pStyle w:val="a6"/>
        <w:tabs>
          <w:tab w:val="left" w:pos="101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Международные валютно-кредитные и финансовые отношения. Авторский коллектив под д.э.н., профессора Л.Н. Красавиной. Издание 2, переработанное и дополненное – М, 2000, стр. </w:t>
      </w:r>
      <w:hyperlink r:id="rId24" w:history="1"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bibliotekar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valyutno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creditnye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otnosheniya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/2.</w:t>
        </w:r>
        <w:r w:rsidRPr="001C54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htm</w:t>
        </w:r>
      </w:hyperlink>
    </w:p>
    <w:p w:rsidR="00BA2D8E" w:rsidRPr="00BA2D8E" w:rsidRDefault="00BA2D8E" w:rsidP="00130E23">
      <w:pPr>
        <w:pStyle w:val="a6"/>
        <w:tabs>
          <w:tab w:val="left" w:pos="101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A2D8E" w:rsidRPr="00BA2D8E" w:rsidRDefault="00BA2D8E" w:rsidP="00130E23">
      <w:pPr>
        <w:pStyle w:val="a6"/>
        <w:tabs>
          <w:tab w:val="left" w:pos="101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2576A" w:rsidRPr="00024CA5" w:rsidRDefault="00E2576A" w:rsidP="00130E23">
      <w:pPr>
        <w:pStyle w:val="a6"/>
        <w:tabs>
          <w:tab w:val="left" w:pos="101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E2576A" w:rsidRPr="00024CA5" w:rsidRDefault="00E2576A" w:rsidP="00130E23">
      <w:pPr>
        <w:pStyle w:val="a6"/>
        <w:tabs>
          <w:tab w:val="left" w:pos="101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E2576A" w:rsidRPr="00024CA5" w:rsidRDefault="00E2576A" w:rsidP="00130E23">
      <w:pPr>
        <w:pStyle w:val="a6"/>
        <w:tabs>
          <w:tab w:val="left" w:pos="101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sectPr w:rsidR="00E2576A" w:rsidRPr="00024CA5" w:rsidSect="00D46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AD519B"/>
    <w:multiLevelType w:val="hybridMultilevel"/>
    <w:tmpl w:val="21E819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97D4F"/>
    <w:rsid w:val="00000A73"/>
    <w:rsid w:val="0000577A"/>
    <w:rsid w:val="00024CA5"/>
    <w:rsid w:val="00037423"/>
    <w:rsid w:val="00051B2E"/>
    <w:rsid w:val="000837D5"/>
    <w:rsid w:val="00091C31"/>
    <w:rsid w:val="00130E23"/>
    <w:rsid w:val="001321FC"/>
    <w:rsid w:val="00194A26"/>
    <w:rsid w:val="002401D2"/>
    <w:rsid w:val="00297D4F"/>
    <w:rsid w:val="0033334D"/>
    <w:rsid w:val="003B0BAB"/>
    <w:rsid w:val="004053C1"/>
    <w:rsid w:val="0043047B"/>
    <w:rsid w:val="004364FA"/>
    <w:rsid w:val="00463A7B"/>
    <w:rsid w:val="00475B9D"/>
    <w:rsid w:val="004D3AB5"/>
    <w:rsid w:val="004E0BDA"/>
    <w:rsid w:val="004F6E93"/>
    <w:rsid w:val="0050221C"/>
    <w:rsid w:val="00511A73"/>
    <w:rsid w:val="00513C71"/>
    <w:rsid w:val="00575A29"/>
    <w:rsid w:val="005A04A3"/>
    <w:rsid w:val="006150C7"/>
    <w:rsid w:val="006803EB"/>
    <w:rsid w:val="006838B0"/>
    <w:rsid w:val="00747233"/>
    <w:rsid w:val="007878E1"/>
    <w:rsid w:val="007A68CB"/>
    <w:rsid w:val="007E2599"/>
    <w:rsid w:val="007E52EE"/>
    <w:rsid w:val="008337D9"/>
    <w:rsid w:val="00855164"/>
    <w:rsid w:val="008E13FC"/>
    <w:rsid w:val="008E764D"/>
    <w:rsid w:val="00915605"/>
    <w:rsid w:val="0092495B"/>
    <w:rsid w:val="009770BE"/>
    <w:rsid w:val="00A13E22"/>
    <w:rsid w:val="00A761B6"/>
    <w:rsid w:val="00AF23A0"/>
    <w:rsid w:val="00AF260A"/>
    <w:rsid w:val="00B20182"/>
    <w:rsid w:val="00B219C7"/>
    <w:rsid w:val="00B24EBA"/>
    <w:rsid w:val="00B62D6D"/>
    <w:rsid w:val="00B70217"/>
    <w:rsid w:val="00BA2D8E"/>
    <w:rsid w:val="00BF6C8E"/>
    <w:rsid w:val="00C15041"/>
    <w:rsid w:val="00CB4F5C"/>
    <w:rsid w:val="00D45B60"/>
    <w:rsid w:val="00D46588"/>
    <w:rsid w:val="00DE7833"/>
    <w:rsid w:val="00E15FF0"/>
    <w:rsid w:val="00E2576A"/>
    <w:rsid w:val="00F06DD3"/>
    <w:rsid w:val="00F3057C"/>
    <w:rsid w:val="00F77CA4"/>
    <w:rsid w:val="00F82DDB"/>
    <w:rsid w:val="00F94E9C"/>
    <w:rsid w:val="00FF4F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FE3FD6-EEF9-4B01-9966-14194A5B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658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38B0"/>
    <w:rPr>
      <w:color w:val="0563C1" w:themeColor="hyperlink"/>
      <w:u w:val="single"/>
    </w:rPr>
  </w:style>
  <w:style w:type="paragraph" w:styleId="a4">
    <w:name w:val="Body Text"/>
    <w:basedOn w:val="a"/>
    <w:link w:val="a5"/>
    <w:qFormat/>
    <w:rsid w:val="004364FA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a5">
    <w:name w:val="Основной текст Знак"/>
    <w:basedOn w:val="a0"/>
    <w:link w:val="a4"/>
    <w:rsid w:val="004364FA"/>
    <w:rPr>
      <w:sz w:val="24"/>
      <w:szCs w:val="24"/>
      <w:lang w:val="en-US"/>
    </w:rPr>
  </w:style>
  <w:style w:type="paragraph" w:styleId="a6">
    <w:name w:val="List Paragraph"/>
    <w:basedOn w:val="a"/>
    <w:uiPriority w:val="34"/>
    <w:qFormat/>
    <w:rsid w:val="003B0BAB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E2576A"/>
    <w:rPr>
      <w:color w:val="954F72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130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30E23"/>
    <w:rPr>
      <w:rFonts w:ascii="Tahoma" w:hAnsi="Tahoma" w:cs="Tahoma"/>
      <w:sz w:val="16"/>
      <w:szCs w:val="16"/>
      <w:lang w:val="uk-UA"/>
    </w:rPr>
  </w:style>
  <w:style w:type="character" w:customStyle="1" w:styleId="tlid-translation">
    <w:name w:val="tlid-translation"/>
    <w:basedOn w:val="a0"/>
    <w:rsid w:val="00AF2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yperlink" Target="https://www.heritage.org/index/country/czechrepublic" TargetMode="External"/><Relationship Id="rId18" Type="http://schemas.openxmlformats.org/officeDocument/2006/relationships/hyperlink" Target="https://www.questia.com/read/1P3-2185060951/decomposing-the-relationship-between-human-capita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ata.worldbank.org/indicator/NY.GDP.PCAP.CD?locations=CZ" TargetMode="External"/><Relationship Id="rId7" Type="http://schemas.openxmlformats.org/officeDocument/2006/relationships/chart" Target="charts/chart1.xml"/><Relationship Id="rId12" Type="http://schemas.openxmlformats.org/officeDocument/2006/relationships/hyperlink" Target="http://www.bibliotekar.ru/finance-6/8.htm" TargetMode="External"/><Relationship Id="rId17" Type="http://schemas.openxmlformats.org/officeDocument/2006/relationships/hyperlink" Target="https://www.czso.cz/csu/gender/1-gender_pracemzdy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bibliotekar.ru/rynok-truda-i-dohody/15.htm" TargetMode="External"/><Relationship Id="rId20" Type="http://schemas.openxmlformats.org/officeDocument/2006/relationships/hyperlink" Target="https://ec.europa.eu/eurostat/tgm/refreshTableAction.do?tab=table&amp;plugin=1&amp;pcode=tps00065&amp;language=e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europa.eu.int/comm/eurostat/" TargetMode="External"/><Relationship Id="rId11" Type="http://schemas.openxmlformats.org/officeDocument/2006/relationships/hyperlink" Target="http://www.bibliotekar.ru/dohody-zarplata/11.htm" TargetMode="External"/><Relationship Id="rId24" Type="http://schemas.openxmlformats.org/officeDocument/2006/relationships/hyperlink" Target="http://www.bibliotekar.ru/valyutno-creditnye-otnosheniya/2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player.ru/51171463-Obzor-sostoyania-ekonomiki-i-osnovnyh-napravleniy-vneshneekonomicheskoy-deyatelnosti-chechii-v-2016-godu.html" TargetMode="External"/><Relationship Id="rId23" Type="http://schemas.openxmlformats.org/officeDocument/2006/relationships/hyperlink" Target="http://www.mesport.ru/index.php/business-and-economy/167-vvp-i-bezrabotitsa" TargetMode="External"/><Relationship Id="rId10" Type="http://schemas.openxmlformats.org/officeDocument/2006/relationships/chart" Target="charts/chart4.xml"/><Relationship Id="rId19" Type="http://schemas.openxmlformats.org/officeDocument/2006/relationships/hyperlink" Target="http://dx.doi.org/10.1155/2014/646518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hyperlink" Target="http://dx.doi.org/10.1787/511708367123" TargetMode="External"/><Relationship Id="rId22" Type="http://schemas.openxmlformats.org/officeDocument/2006/relationships/hyperlink" Target="https://data.worldbank.org/indicator/SL.TLF.TOTL.IN?locations=CZ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103;\Desktop\&#1084;&#1072;&#1090;&#1077;&#1088;&#1080;&#1072;&#1083;&#1099;%20&#1082;%20&#1088;&#1072;&#1073;&#1086;&#1090;&#1077;%20&#1087;&#1086;%20&#1101;&#1082;&#1086;&#1085;&#1086;&#1084;&#1080;&#1082;&#1077;\&#1075;&#1088;&#1072;&#1092;&#1080;&#1082;&#108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103;\Desktop\&#1084;&#1072;&#1090;&#1077;&#1088;&#1080;&#1072;&#1083;&#1099;%20&#1082;%20&#1088;&#1072;&#1073;&#1086;&#1090;&#1077;%20&#1087;&#1086;%20&#1101;&#1082;&#1086;&#1085;&#1086;&#1084;&#1080;&#1082;&#1077;\&#1075;&#1088;&#1072;&#1092;&#1080;&#1082;&#1080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103;\Desktop\&#1084;&#1072;&#1090;&#1077;&#1088;&#1080;&#1072;&#1083;&#1099;%20&#1082;%20&#1088;&#1072;&#1073;&#1086;&#1090;&#1077;%20&#1087;&#1086;%20&#1101;&#1082;&#1086;&#1085;&#1086;&#1084;&#1080;&#1082;&#1077;\&#1075;&#1088;&#1072;&#1092;&#1080;&#1082;&#1080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103;\Downloads\project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6.4168410910661652E-2"/>
          <c:y val="0.15760194609820138"/>
          <c:w val="0.91262483803448846"/>
          <c:h val="0.57917973667925782"/>
        </c:manualLayout>
      </c:layout>
      <c:lineChart>
        <c:grouping val="standard"/>
        <c:varyColors val="0"/>
        <c:ser>
          <c:idx val="0"/>
          <c:order val="0"/>
          <c:tx>
            <c:strRef>
              <c:f>Лист6!$A$1</c:f>
              <c:strCache>
                <c:ptCount val="1"/>
                <c:pt idx="0">
                  <c:v>Nezaměstnaných osob ,%</c:v>
                </c:pt>
              </c:strCache>
            </c:strRef>
          </c:tx>
          <c:spPr>
            <a:ln>
              <a:solidFill>
                <a:schemeClr val="accent4">
                  <a:lumMod val="50000"/>
                </a:schemeClr>
              </a:solidFill>
            </a:ln>
          </c:spPr>
          <c:cat>
            <c:numLit>
              <c:formatCode>General</c:formatCode>
              <c:ptCount val="13"/>
              <c:pt idx="0">
                <c:v>2005</c:v>
              </c:pt>
              <c:pt idx="1">
                <c:v>2006</c:v>
              </c:pt>
              <c:pt idx="2">
                <c:v>2007</c:v>
              </c:pt>
              <c:pt idx="3">
                <c:v>2008</c:v>
              </c:pt>
              <c:pt idx="4">
                <c:v>2009</c:v>
              </c:pt>
              <c:pt idx="5">
                <c:v>2010</c:v>
              </c:pt>
              <c:pt idx="6">
                <c:v>2011</c:v>
              </c:pt>
              <c:pt idx="7">
                <c:v>2012</c:v>
              </c:pt>
              <c:pt idx="8">
                <c:v>2013</c:v>
              </c:pt>
              <c:pt idx="9">
                <c:v>2014</c:v>
              </c:pt>
              <c:pt idx="10">
                <c:v>2015</c:v>
              </c:pt>
              <c:pt idx="11">
                <c:v>2016</c:v>
              </c:pt>
              <c:pt idx="12">
                <c:v>2017</c:v>
              </c:pt>
            </c:numLit>
          </c:cat>
          <c:val>
            <c:numRef>
              <c:f>Лист6!$A$2:$A$14</c:f>
              <c:numCache>
                <c:formatCode>General</c:formatCode>
                <c:ptCount val="13"/>
                <c:pt idx="0">
                  <c:v>6.59</c:v>
                </c:pt>
                <c:pt idx="1">
                  <c:v>5.75</c:v>
                </c:pt>
                <c:pt idx="2">
                  <c:v>4.49</c:v>
                </c:pt>
                <c:pt idx="3">
                  <c:v>4.51</c:v>
                </c:pt>
                <c:pt idx="4">
                  <c:v>7.1199999999999966</c:v>
                </c:pt>
                <c:pt idx="5">
                  <c:v>7.4</c:v>
                </c:pt>
                <c:pt idx="6">
                  <c:v>6.7700000000000014</c:v>
                </c:pt>
                <c:pt idx="7">
                  <c:v>7.37</c:v>
                </c:pt>
                <c:pt idx="8">
                  <c:v>8.17</c:v>
                </c:pt>
                <c:pt idx="9">
                  <c:v>7.46</c:v>
                </c:pt>
                <c:pt idx="10">
                  <c:v>6.24</c:v>
                </c:pt>
                <c:pt idx="11">
                  <c:v>5.1899999999999995</c:v>
                </c:pt>
                <c:pt idx="12">
                  <c:v>3.77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805359744"/>
        <c:axId val="-805361920"/>
      </c:lineChart>
      <c:catAx>
        <c:axId val="-8053597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805361920"/>
        <c:crosses val="autoZero"/>
        <c:auto val="1"/>
        <c:lblAlgn val="ctr"/>
        <c:lblOffset val="100"/>
        <c:noMultiLvlLbl val="0"/>
      </c:catAx>
      <c:valAx>
        <c:axId val="-8053619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80535974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HDP na 1 obyvatele v $ </a:t>
            </a:r>
            <a:endParaRPr lang="ru-RU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8.431218589115605E-2"/>
          <c:y val="0.17265310586176741"/>
          <c:w val="0.90323580622257371"/>
          <c:h val="0.5126872265966756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HDP na 1 obyvatele v $ </c:v>
                </c:pt>
              </c:strCache>
            </c:strRef>
          </c:tx>
          <c:cat>
            <c:numLit>
              <c:formatCode>General</c:formatCode>
              <c:ptCount val="28"/>
              <c:pt idx="0">
                <c:v>1990</c:v>
              </c:pt>
              <c:pt idx="1">
                <c:v>1991</c:v>
              </c:pt>
              <c:pt idx="2">
                <c:v>1992</c:v>
              </c:pt>
              <c:pt idx="3">
                <c:v>1993</c:v>
              </c:pt>
              <c:pt idx="4">
                <c:v>1994</c:v>
              </c:pt>
              <c:pt idx="5">
                <c:v>1995</c:v>
              </c:pt>
              <c:pt idx="6">
                <c:v>1996</c:v>
              </c:pt>
              <c:pt idx="7">
                <c:v>1997</c:v>
              </c:pt>
              <c:pt idx="8">
                <c:v>1998</c:v>
              </c:pt>
              <c:pt idx="9">
                <c:v>1999</c:v>
              </c:pt>
              <c:pt idx="10">
                <c:v>2000</c:v>
              </c:pt>
              <c:pt idx="11">
                <c:v>2001</c:v>
              </c:pt>
              <c:pt idx="12">
                <c:v>2002</c:v>
              </c:pt>
              <c:pt idx="13">
                <c:v>2003</c:v>
              </c:pt>
              <c:pt idx="14">
                <c:v>2004</c:v>
              </c:pt>
              <c:pt idx="15">
                <c:v>2005</c:v>
              </c:pt>
              <c:pt idx="16">
                <c:v>2006</c:v>
              </c:pt>
              <c:pt idx="17">
                <c:v>2007</c:v>
              </c:pt>
              <c:pt idx="18">
                <c:v>2008</c:v>
              </c:pt>
              <c:pt idx="19">
                <c:v>2009</c:v>
              </c:pt>
              <c:pt idx="20">
                <c:v>2010</c:v>
              </c:pt>
              <c:pt idx="21">
                <c:v>2011</c:v>
              </c:pt>
              <c:pt idx="22">
                <c:v>2012</c:v>
              </c:pt>
              <c:pt idx="23">
                <c:v>2013</c:v>
              </c:pt>
              <c:pt idx="24">
                <c:v>2014</c:v>
              </c:pt>
              <c:pt idx="25">
                <c:v>2015</c:v>
              </c:pt>
              <c:pt idx="26">
                <c:v>2016</c:v>
              </c:pt>
              <c:pt idx="27">
                <c:v>2017</c:v>
              </c:pt>
            </c:numLit>
          </c:cat>
          <c:val>
            <c:numRef>
              <c:f>Лист1!$B$2:$B$29</c:f>
              <c:numCache>
                <c:formatCode>General</c:formatCode>
                <c:ptCount val="28"/>
                <c:pt idx="0">
                  <c:v>3917.16</c:v>
                </c:pt>
                <c:pt idx="1">
                  <c:v>2878.7190000000001</c:v>
                </c:pt>
                <c:pt idx="2">
                  <c:v>3352.0340000000001</c:v>
                </c:pt>
                <c:pt idx="3">
                  <c:v>3931.7439999999997</c:v>
                </c:pt>
                <c:pt idx="4">
                  <c:v>4601.9520000000002</c:v>
                </c:pt>
                <c:pt idx="5">
                  <c:v>5788.1510000000044</c:v>
                </c:pt>
                <c:pt idx="6">
                  <c:v>6493.8630000000003</c:v>
                </c:pt>
                <c:pt idx="7">
                  <c:v>5996.8339999999998</c:v>
                </c:pt>
                <c:pt idx="8">
                  <c:v>6458.9049999999997</c:v>
                </c:pt>
                <c:pt idx="9">
                  <c:v>6307.6980000000003</c:v>
                </c:pt>
                <c:pt idx="10">
                  <c:v>6011.6150000000034</c:v>
                </c:pt>
                <c:pt idx="11">
                  <c:v>6609.2060000000001</c:v>
                </c:pt>
                <c:pt idx="12">
                  <c:v>8032.8970000000018</c:v>
                </c:pt>
                <c:pt idx="13">
                  <c:v>9773.1180000000004</c:v>
                </c:pt>
                <c:pt idx="14">
                  <c:v>11685.887000000001</c:v>
                </c:pt>
                <c:pt idx="15">
                  <c:v>13346.175999999976</c:v>
                </c:pt>
                <c:pt idx="16">
                  <c:v>15183.636</c:v>
                </c:pt>
                <c:pt idx="17">
                  <c:v>18373.648999999998</c:v>
                </c:pt>
                <c:pt idx="18">
                  <c:v>22698.853999999996</c:v>
                </c:pt>
                <c:pt idx="19">
                  <c:v>19741.598000000005</c:v>
                </c:pt>
                <c:pt idx="20">
                  <c:v>19808.071</c:v>
                </c:pt>
                <c:pt idx="21">
                  <c:v>21717.457999999999</c:v>
                </c:pt>
                <c:pt idx="22">
                  <c:v>19729.870999999996</c:v>
                </c:pt>
                <c:pt idx="23">
                  <c:v>19916.018999999997</c:v>
                </c:pt>
                <c:pt idx="24">
                  <c:v>19744.558999999997</c:v>
                </c:pt>
                <c:pt idx="25">
                  <c:v>17715.616999999962</c:v>
                </c:pt>
                <c:pt idx="26">
                  <c:v>18483.716</c:v>
                </c:pt>
                <c:pt idx="27">
                  <c:v>20368.138999999996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803094224"/>
        <c:axId val="-803093680"/>
      </c:lineChart>
      <c:catAx>
        <c:axId val="-8030942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5400000" vert="horz" anchor="ctr" anchorCtr="0"/>
          <a:lstStyle/>
          <a:p>
            <a:pPr>
              <a:defRPr/>
            </a:pPr>
            <a:endParaRPr lang="ru-RU"/>
          </a:p>
        </c:txPr>
        <c:crossAx val="-803093680"/>
        <c:crosses val="autoZero"/>
        <c:auto val="0"/>
        <c:lblAlgn val="ctr"/>
        <c:lblOffset val="100"/>
        <c:tickLblSkip val="1"/>
        <c:noMultiLvlLbl val="0"/>
      </c:catAx>
      <c:valAx>
        <c:axId val="-8030936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803094224"/>
        <c:crossesAt val="1"/>
        <c:crossBetween val="midCat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7.8823007454046634E-2"/>
          <c:y val="0.24274254354569363"/>
          <c:w val="0.87730441809332438"/>
          <c:h val="0.5053557623478887"/>
        </c:manualLayout>
      </c:layout>
      <c:lineChart>
        <c:grouping val="standard"/>
        <c:varyColors val="0"/>
        <c:ser>
          <c:idx val="0"/>
          <c:order val="0"/>
          <c:tx>
            <c:strRef>
              <c:f>Лист9!$A$1</c:f>
              <c:strCache>
                <c:ptCount val="1"/>
                <c:pt idx="0">
                  <c:v>Nejméně vyšší sekundární vzdělání, věková skupina 25-64 let</c:v>
                </c:pt>
              </c:strCache>
            </c:strRef>
          </c:tx>
          <c:cat>
            <c:numLit>
              <c:formatCode>General</c:formatCode>
              <c:ptCount val="12"/>
              <c:pt idx="0">
                <c:v>2007</c:v>
              </c:pt>
              <c:pt idx="1">
                <c:v>2008</c:v>
              </c:pt>
              <c:pt idx="2">
                <c:v>2009</c:v>
              </c:pt>
              <c:pt idx="3">
                <c:v>2010</c:v>
              </c:pt>
              <c:pt idx="4">
                <c:v>2011</c:v>
              </c:pt>
              <c:pt idx="5">
                <c:v>2012</c:v>
              </c:pt>
              <c:pt idx="6">
                <c:v>2013</c:v>
              </c:pt>
              <c:pt idx="7">
                <c:v>2014</c:v>
              </c:pt>
              <c:pt idx="8">
                <c:v>2015</c:v>
              </c:pt>
              <c:pt idx="9">
                <c:v>2016</c:v>
              </c:pt>
              <c:pt idx="10">
                <c:v>2017</c:v>
              </c:pt>
              <c:pt idx="11">
                <c:v>2018</c:v>
              </c:pt>
            </c:numLit>
          </c:cat>
          <c:val>
            <c:numRef>
              <c:f>Лист9!$A$2:$A$13</c:f>
              <c:numCache>
                <c:formatCode>0.0</c:formatCode>
                <c:ptCount val="12"/>
                <c:pt idx="0">
                  <c:v>90.5</c:v>
                </c:pt>
                <c:pt idx="1">
                  <c:v>90.9</c:v>
                </c:pt>
                <c:pt idx="2">
                  <c:v>91.4</c:v>
                </c:pt>
                <c:pt idx="3">
                  <c:v>91.9</c:v>
                </c:pt>
                <c:pt idx="4">
                  <c:v>92.3</c:v>
                </c:pt>
                <c:pt idx="5">
                  <c:v>92.5</c:v>
                </c:pt>
                <c:pt idx="6">
                  <c:v>92.8</c:v>
                </c:pt>
                <c:pt idx="7">
                  <c:v>93.2</c:v>
                </c:pt>
                <c:pt idx="8">
                  <c:v>93.2</c:v>
                </c:pt>
                <c:pt idx="9">
                  <c:v>93.4</c:v>
                </c:pt>
                <c:pt idx="10">
                  <c:v>93.8</c:v>
                </c:pt>
                <c:pt idx="11">
                  <c:v>93.8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803088784"/>
        <c:axId val="-803092048"/>
      </c:lineChart>
      <c:catAx>
        <c:axId val="-8030887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803092048"/>
        <c:crosses val="autoZero"/>
        <c:auto val="1"/>
        <c:lblAlgn val="ctr"/>
        <c:lblOffset val="100"/>
        <c:noMultiLvlLbl val="0"/>
      </c:catAx>
      <c:valAx>
        <c:axId val="-803092048"/>
        <c:scaling>
          <c:orientation val="minMax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-803088784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Zavislost</a:t>
            </a:r>
            <a:r>
              <a:rPr lang="cs-CZ" baseline="0"/>
              <a:t> GDP na prac</a:t>
            </a:r>
            <a:r>
              <a:rPr lang="en-US" baseline="0"/>
              <a:t>o</a:t>
            </a:r>
            <a:r>
              <a:rPr lang="cs-CZ" baseline="0"/>
              <a:t>vní sile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864300159201444"/>
          <c:y val="8.415934025445701E-2"/>
          <c:w val="0.65636246288886024"/>
          <c:h val="0.7668987295133618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5.0889944100498893E-2"/>
                  <c:y val="0.125592581665934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Лист1!$C$1:$C$28</c:f>
              <c:numCache>
                <c:formatCode>General</c:formatCode>
                <c:ptCount val="28"/>
                <c:pt idx="0">
                  <c:v>4938.9540000000006</c:v>
                </c:pt>
                <c:pt idx="1">
                  <c:v>4979.4670000000015</c:v>
                </c:pt>
                <c:pt idx="2">
                  <c:v>5024.8610000000044</c:v>
                </c:pt>
                <c:pt idx="3">
                  <c:v>5079.3520000000044</c:v>
                </c:pt>
                <c:pt idx="4">
                  <c:v>5138.6320000000014</c:v>
                </c:pt>
                <c:pt idx="5">
                  <c:v>5158.9180000000006</c:v>
                </c:pt>
                <c:pt idx="6">
                  <c:v>5156.951</c:v>
                </c:pt>
                <c:pt idx="7">
                  <c:v>5134.6610000000082</c:v>
                </c:pt>
                <c:pt idx="8">
                  <c:v>5155.9290000000001</c:v>
                </c:pt>
                <c:pt idx="9">
                  <c:v>5184.0050000000001</c:v>
                </c:pt>
                <c:pt idx="10">
                  <c:v>5153.2630000000017</c:v>
                </c:pt>
                <c:pt idx="11">
                  <c:v>5132.2620000000024</c:v>
                </c:pt>
                <c:pt idx="12">
                  <c:v>5133.8540000000003</c:v>
                </c:pt>
                <c:pt idx="13">
                  <c:v>5128.04</c:v>
                </c:pt>
                <c:pt idx="14">
                  <c:v>5124.92</c:v>
                </c:pt>
                <c:pt idx="15">
                  <c:v>5180.5350000000008</c:v>
                </c:pt>
                <c:pt idx="16">
                  <c:v>5186.107</c:v>
                </c:pt>
                <c:pt idx="17">
                  <c:v>5185.902</c:v>
                </c:pt>
                <c:pt idx="18">
                  <c:v>5205.3030000000008</c:v>
                </c:pt>
                <c:pt idx="19">
                  <c:v>5249.7510000000002</c:v>
                </c:pt>
                <c:pt idx="20">
                  <c:v>5241.2950000000001</c:v>
                </c:pt>
                <c:pt idx="21">
                  <c:v>5232.5170000000007</c:v>
                </c:pt>
                <c:pt idx="22">
                  <c:v>5269.1650000000054</c:v>
                </c:pt>
                <c:pt idx="23">
                  <c:v>5321.9319999999998</c:v>
                </c:pt>
                <c:pt idx="24">
                  <c:v>5322.7079999999996</c:v>
                </c:pt>
                <c:pt idx="25">
                  <c:v>5336.2069999999994</c:v>
                </c:pt>
                <c:pt idx="26">
                  <c:v>5387.5170000000007</c:v>
                </c:pt>
                <c:pt idx="27">
                  <c:v>5371.4389999999985</c:v>
                </c:pt>
              </c:numCache>
            </c:numRef>
          </c:xVal>
          <c:yVal>
            <c:numRef>
              <c:f>Лист1!$B$1:$B$28</c:f>
              <c:numCache>
                <c:formatCode>General</c:formatCode>
                <c:ptCount val="28"/>
                <c:pt idx="0">
                  <c:v>3917.16</c:v>
                </c:pt>
                <c:pt idx="1">
                  <c:v>2878.7190000000001</c:v>
                </c:pt>
                <c:pt idx="2">
                  <c:v>3352.0340000000001</c:v>
                </c:pt>
                <c:pt idx="3">
                  <c:v>3931.7739999999999</c:v>
                </c:pt>
                <c:pt idx="4">
                  <c:v>4601.9520000000002</c:v>
                </c:pt>
                <c:pt idx="5">
                  <c:v>5788.1510000000044</c:v>
                </c:pt>
                <c:pt idx="6">
                  <c:v>6493.8630000000003</c:v>
                </c:pt>
                <c:pt idx="7">
                  <c:v>5996.8339999999998</c:v>
                </c:pt>
                <c:pt idx="8">
                  <c:v>6458.9049999999997</c:v>
                </c:pt>
                <c:pt idx="9">
                  <c:v>6307.6980000000003</c:v>
                </c:pt>
                <c:pt idx="10">
                  <c:v>6011.6150000000034</c:v>
                </c:pt>
                <c:pt idx="11">
                  <c:v>6609.2060000000001</c:v>
                </c:pt>
                <c:pt idx="12">
                  <c:v>8032.8970000000018</c:v>
                </c:pt>
                <c:pt idx="13">
                  <c:v>9773.1180000000004</c:v>
                </c:pt>
                <c:pt idx="14">
                  <c:v>11685.887000000001</c:v>
                </c:pt>
                <c:pt idx="15">
                  <c:v>13346.175999999976</c:v>
                </c:pt>
                <c:pt idx="16">
                  <c:v>15183.636</c:v>
                </c:pt>
                <c:pt idx="17">
                  <c:v>18373.649999999969</c:v>
                </c:pt>
                <c:pt idx="18">
                  <c:v>22698.853999999996</c:v>
                </c:pt>
                <c:pt idx="19">
                  <c:v>19741.598000000005</c:v>
                </c:pt>
                <c:pt idx="20">
                  <c:v>19808.071</c:v>
                </c:pt>
                <c:pt idx="21">
                  <c:v>21717.457999999999</c:v>
                </c:pt>
                <c:pt idx="22">
                  <c:v>19729.870999999996</c:v>
                </c:pt>
                <c:pt idx="23">
                  <c:v>19916.018999999997</c:v>
                </c:pt>
                <c:pt idx="24">
                  <c:v>19744.558999999997</c:v>
                </c:pt>
                <c:pt idx="25">
                  <c:v>17715.616999999962</c:v>
                </c:pt>
                <c:pt idx="26">
                  <c:v>18483.716</c:v>
                </c:pt>
                <c:pt idx="27">
                  <c:v>20368.138999999996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03090960"/>
        <c:axId val="-803087696"/>
      </c:scatterChart>
      <c:valAx>
        <c:axId val="-803090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</a:t>
                </a:r>
                <a:r>
                  <a:rPr lang="cs-CZ"/>
                  <a:t>čet</a:t>
                </a:r>
                <a:r>
                  <a:rPr lang="cs-CZ" baseline="0"/>
                  <a:t> pracujicích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803087696"/>
        <c:crosses val="autoZero"/>
        <c:crossBetween val="midCat"/>
      </c:valAx>
      <c:valAx>
        <c:axId val="-80308769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GDP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803090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0BE2D-FB13-4890-84EF-4ABD1E319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13</Pages>
  <Words>3131</Words>
  <Characters>17853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68</cp:revision>
  <dcterms:created xsi:type="dcterms:W3CDTF">2019-04-18T06:38:00Z</dcterms:created>
  <dcterms:modified xsi:type="dcterms:W3CDTF">2019-04-19T18:57:00Z</dcterms:modified>
</cp:coreProperties>
</file>