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Министерство просвещения Российской Федерации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высшего образования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«Херсонский государственный педагогический университет»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Кафедра программной инженерии и информационных технологий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8"/>
          <w:szCs w:val="28"/>
        </w:rPr>
        <w:t>УТВЕРЖДАЮ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8"/>
          <w:szCs w:val="28"/>
        </w:rPr>
        <w:t>Руководитель практики (НИР)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8"/>
          <w:szCs w:val="28"/>
        </w:rPr>
        <w:t>профессор ___________ Гришин И.Ю.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0"/>
          <w:szCs w:val="20"/>
        </w:rPr>
        <w:t>(подпись)</w:t>
      </w:r>
    </w:p>
    <w:p>
      <w:pPr>
        <w:pStyle w:val="Normal"/>
        <w:spacing w:lineRule="auto" w:line="360" w:before="0" w:after="240"/>
        <w:jc w:val="right"/>
        <w:rPr/>
      </w:pPr>
      <w:r>
        <w:rPr>
          <w:rFonts w:eastAsia="Times New Roman" w:cs="Times New Roman"/>
          <w:sz w:val="28"/>
          <w:szCs w:val="28"/>
        </w:rPr>
        <w:t>«__» __________ 2026 г.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ИНДИВИДУАЛЬНОЕ ЗАДАНИЕ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 производственную практику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(научно-исследовательская работа)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2 семестр (теоретико-аналитический этап)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Обучающемуся Деменкову Ивану Михайловичу</w:t>
      </w:r>
    </w:p>
    <w:p>
      <w:pPr>
        <w:pStyle w:val="Normal"/>
        <w:spacing w:lineRule="auto" w:line="360" w:before="0" w:after="100"/>
        <w:jc w:val="center"/>
        <w:rPr/>
      </w:pPr>
      <w:r>
        <w:rPr>
          <w:rFonts w:eastAsia="Times New Roman" w:cs="Times New Roman"/>
          <w:sz w:val="20"/>
          <w:szCs w:val="20"/>
        </w:rPr>
        <w:t>(фамилия, имя, отчество)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Направление подготовки: 09.04.04 «Программная инженерия»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Направленность (профиль): Разработка программно-информационных систем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Форма обучения: заочная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Курс: 1   Группа: 12-25 РПмз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Семестр прохождения практики: 2 (теоретико-аналитический этап)</w:t>
      </w:r>
    </w:p>
    <w:p>
      <w:pPr>
        <w:pStyle w:val="Normal"/>
        <w:spacing w:lineRule="auto" w:line="360" w:before="200" w:after="1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1. Тема научно-исследовательской работы: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Методы оптимизации хранения и обработки данных при синхронизации разнородных источников с аналитическим хранилищем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2. Место прохождения практики: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Кафедра программной инженерии и информационных технологий Института информационных технологий ФГБОУ ВО «Херсонский государственный педагогический университет»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3. Срок прохождения практики: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с «02» июня 2026 г. по «13» июня 2026 г.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Трудоёмкость 2 семестра практики: 3 з.е. (108 академических часов)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4. Цель научно-исследовательской работы во 2 семестре: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сформировать научно-методическую основу исследования: провести углублённый аналитический обзор современных подходов к оптимизации хранения и обработки данных при синхронизации разнородных источников (реляционных и документоориентированных СУБД) с облачным аналитическим хранилищем, обосновать постановку научной задачи и разработать теоретические модели и методы оптимизации, обеспечивающие повышение производительности обработки данных и снижение издержек выполнения аналитических запросов в хранилище.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5. Задачи научно-исследовательской работы во 2 семестре:</w:t>
      </w:r>
    </w:p>
    <w:p>
      <w:pPr>
        <w:pStyle w:val="ListParagraph"/>
        <w:numPr>
          <w:ilvl w:val="0"/>
          <w:numId w:val="30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ознакомиться с современным состоянием научных исследований в области хранения и обработки данных при интеграции разнородных источников с аналитическими хранилищами; провести поиск и анализ научных публикаций в наукометрических базах данных Scopus, Web of Science, РИНЦ, IEEE Xplore, ACM Digital Library и arXiv с учётом требования к минимальному количеству источников (не менее 20);</w:t>
      </w:r>
    </w:p>
    <w:p>
      <w:pPr>
        <w:pStyle w:val="ListParagraph"/>
        <w:numPr>
          <w:ilvl w:val="0"/>
          <w:numId w:val="31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выполнить систематический обзор и сравнительный анализ методов интеграции данных (ETL/ELT), моделей хранения (строковое и колоночное хранение, партиционирование, кластеризация), стратегий инкрементальной загрузки (Change Data Capture, операции MERGE/UPSERT) и форматов хранения (Parquet, ORC, Avro); выявить достоинства и недостатки известных подходов применительно к синхронизации разнородных источников;</w:t>
      </w:r>
    </w:p>
    <w:p>
      <w:pPr>
        <w:pStyle w:val="ListParagraph"/>
        <w:numPr>
          <w:ilvl w:val="0"/>
          <w:numId w:val="32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сформулировать обоснованную постановку научной задачи исследования с указанием выявленных ограничений в существующих подходах к оптимизации хранения и обработки данных и обозначением направлений их преодоления;</w:t>
      </w:r>
    </w:p>
    <w:p>
      <w:pPr>
        <w:pStyle w:val="ListParagraph"/>
        <w:numPr>
          <w:ilvl w:val="0"/>
          <w:numId w:val="33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сформулировать функциональные и нефункциональные требования к разрабатываемым методам и моделям оптимизации (производительность, стоимость выполнения запросов, согласованность, масштабируемость, воспроизводимость) на основе результатов аналитического обзора и применимых стандартов;</w:t>
      </w:r>
    </w:p>
    <w:p>
      <w:pPr>
        <w:pStyle w:val="ListParagraph"/>
        <w:numPr>
          <w:ilvl w:val="0"/>
          <w:numId w:val="34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обосновать выбор теоретического подхода к оптимизации (сопоставление моделей данных и схем хранения, стратегий инкрементальной загрузки, методов оптимизации запросов; применимость колоночного хранения, партиционирования, кластеризации и материализованных представлений);</w:t>
      </w:r>
    </w:p>
    <w:p>
      <w:pPr>
        <w:pStyle w:val="ListParagraph"/>
        <w:numPr>
          <w:ilvl w:val="0"/>
          <w:numId w:val="35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разработать концептуальную и логическую модели процесса оптимизированной синхронизации и обработки данных, выполнить их формализацию средствами UML и инфологического (ER) моделирования с учётом особенностей источников MySQL и MongoDB и аналитического хранилища Google BigQuery;</w:t>
      </w:r>
    </w:p>
    <w:p>
      <w:pPr>
        <w:pStyle w:val="ListParagraph"/>
        <w:numPr>
          <w:ilvl w:val="0"/>
          <w:numId w:val="36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проанализировать свойства, ограничения и области применимости разработанных методов и моделей в контексте процессов синхронизации разнородных источников с аналитическим хранилищем, обосновать их преимущества по сравнению с известными аналогами и подготовить основу для экспериментальной апробации в 3 семестре;</w:t>
      </w:r>
    </w:p>
    <w:p>
      <w:pPr>
        <w:pStyle w:val="ListParagraph"/>
        <w:numPr>
          <w:ilvl w:val="0"/>
          <w:numId w:val="37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оформить материалы по результатам 2 семестра в виде промежуточного отчёта объёмом 15–20 страниц и подготовиться к промежуточной аттестации в форме зачёта с оценкой.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6. Объект исследования: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процессы хранения и обработки данных в системах синхронизации разнородных источников (реляционных и документоориентированных СУБД) с аналитическим хранилищем, в том числе процессы извлечения, преобразования, инкрементальной загрузки, слияния данных и оптимизации структур их хранения.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7. Предмет исследования: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модели, методы и средства оптимизации хранения и обработки данных, обеспечивающие повышение производительности и снижение издержек выполнения аналитических запросов на основе колоночного хранения, партиционирования, кластеризации и оптимизированных стратегий инкрементальной загрузки данных в аналитическое хранилище.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8. Методы исследования, применяемые во 2 семестре: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системный анализ предметной области хранения и обработки данных; критический анализ научных публикаций в области инженерии данных, баз данных и аналитических хранилищ; методы классификации и сравнительного анализа методов хранения и обработки данных; методы математического и алгоритмического моделирования процессов обработки данных; методы проектирования и оптимизации структур хранения данных; методы оценки производительности (бенчмаркинг, профилирование запросов); объектно-ориентированное и инфологическое моделирование с использованием UML и ER-нотаций.</w:t>
      </w:r>
    </w:p>
    <w:p>
      <w:pPr>
        <w:pStyle w:val="Normal"/>
        <w:spacing w:lineRule="auto" w:line="360" w:before="200" w:after="1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9. Ожидаемые результаты практики во 2 семестре: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оформленный и утверждённый научным руководителем и заведующим кафедрой комплект документов: индивидуальное задание и календарный план прохождения практики;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развёрнутый аннотированный список научных источников по теме исследования объёмом не менее 20 публикаций, оформленный в соответствии с ГОСТ Р 7.0.100–2018 (не менее 30 % источников опубликованы за последние 5 лет и не менее 30 % – на иностранных языках);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оформленный аналитический обзор современных подходов к оптимизации хранения и обработки данных объёмом 4–6 страниц, представляющий основу главы 1 итогового отчёта по практике;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чётко сформулированная и обоснованная постановка научной задачи исследования с выделением исследовательских «зазоров» в существующих решениях;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сформулированный перечень функциональных и нефункциональных требований к разрабатываемым методам и моделям оптимизации;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разработанные и формализованные средствами UML/ER концептуальная и логическая модели оптимизированной синхронизации и обработки данных, представляющие основу главы 2 итогового отчёта (объёмом 3–5 страниц);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выполненный анализ свойств, ограничений и областей применимости разработанных методов; обоснование их преимуществ по сравнению с известными аналогами;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промежуточный отчёт о выполнении практики во 2 семестре объёмом 15–20 страниц для промежуточной аттестации.</w:t>
      </w:r>
    </w:p>
    <w:p>
      <w:pPr>
        <w:pStyle w:val="Normal"/>
        <w:spacing w:lineRule="auto" w:line="360" w:before="200" w:after="1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10. Формы отчётности по практике во 2 семестре: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промежуточный отчёт о выполнении практики во 2 семестре (15–20 страниц);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аннотированный список научных источников по теме НИР (не менее 20 источников);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заполненный и подписанный график прохождения практики во 2 семестре с отметками о выполнении каждого этапа.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11. Форма промежуточной аттестации по итогам 2 семестра: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зачёт (промежуточный) – с оценкой.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Итоговая оценка (зачёт с оценкой) по производственной практике выставляется по итогам 3 семестра.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12. Содержание и сроки выполнения этапов НИР во 2 семестре:</w:t>
      </w:r>
    </w:p>
    <w:tbl>
      <w:tblPr>
        <w:tblW w:w="9360" w:type="dxa"/>
        <w:jc w:val="left"/>
        <w:tblInd w:w="0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556"/>
        <w:gridCol w:w="1969"/>
        <w:gridCol w:w="3384"/>
        <w:gridCol w:w="701"/>
        <w:gridCol w:w="1302"/>
        <w:gridCol w:w="1447"/>
      </w:tblGrid>
      <w:tr>
        <w:trPr>
          <w:tblHeader w:val="true"/>
        </w:trPr>
        <w:tc>
          <w:tcPr>
            <w:tcW w:w="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Содержание работы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Часы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Срок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Форма отчётности</w:t>
            </w:r>
          </w:p>
        </w:tc>
      </w:tr>
      <w:tr>
        <w:trPr/>
        <w:tc>
          <w:tcPr>
            <w:tcW w:w="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</w:t>
            </w:r>
          </w:p>
        </w:tc>
        <w:tc>
          <w:tcPr>
            <w:tcW w:w="1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Подготовительный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Знакомство с тематикой кафедры в области инженерии данных и интеграционных систем;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12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02.06.2026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Индивидуальное задание; календарный план НИР</w:t>
            </w:r>
          </w:p>
        </w:tc>
      </w:tr>
      <w:tr>
        <w:trPr/>
        <w:tc>
          <w:tcPr>
            <w:tcW w:w="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1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Аналитический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Поиск и анализ научных публикаций по методам ETL/ELT, моделям хранения, стратегиям инкрементальной загрузки и оптимизации запросов в базах данных Scopus, Web of Science, РИНЦ, IEEE Xplore, ACM DL, arXiv; систематизация информации; сравнительный анализ; формулировка постановки задачи исследования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40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03.06–05.06.2026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Аналитический обзор (основа главы 1 отчёта); аннотированный список источников</w:t>
            </w:r>
          </w:p>
        </w:tc>
      </w:tr>
      <w:tr>
        <w:trPr/>
        <w:tc>
          <w:tcPr>
            <w:tcW w:w="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3</w:t>
            </w:r>
          </w:p>
        </w:tc>
        <w:tc>
          <w:tcPr>
            <w:tcW w:w="1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Теоретический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Обоснование выбора подхода к оптимизации; формулировка функциональных и нефункциональных требований; разработка концептуальной и логической моделей оптимизированной синхронизации и обработки данных; формализация средствами UML/ER; анализ свойств, ограничений и областей применимости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48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06.06–11.06.2026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Теоретическая часть (основа главы 2 отчёта); UML/ER-диаграммы</w:t>
            </w:r>
          </w:p>
        </w:tc>
      </w:tr>
      <w:tr>
        <w:trPr/>
        <w:tc>
          <w:tcPr>
            <w:tcW w:w="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</w:t>
            </w:r>
          </w:p>
        </w:tc>
        <w:tc>
          <w:tcPr>
            <w:tcW w:w="1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Промежуточная аттестация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Оформление промежуточного отчёта о выполнении практики во 2 семестре; представление результатов; ответы на вопросы; получение рекомендаций по работе в 3 семестре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8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12.06–13.06.2026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Промежуточный отчёт; зачёт (промежуточный, с оценкой)</w:t>
            </w:r>
          </w:p>
        </w:tc>
      </w:tr>
      <w:tr>
        <w:trPr/>
        <w:tc>
          <w:tcPr>
            <w:tcW w:w="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/>
            </w:r>
          </w:p>
        </w:tc>
        <w:tc>
          <w:tcPr>
            <w:tcW w:w="1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Производственная практика во 2 семестре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108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02.06–13.06.2026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3 з.е. (108 ч)</w:t>
            </w:r>
          </w:p>
        </w:tc>
      </w:tr>
    </w:tbl>
    <w:p>
      <w:pPr>
        <w:pStyle w:val="Normal"/>
        <w:spacing w:lineRule="auto" w:line="360" w:before="0" w:after="120"/>
        <w:rPr/>
      </w:pPr>
      <w:r>
        <w:rPr/>
      </w:r>
    </w:p>
    <w:p>
      <w:pPr>
        <w:pStyle w:val="Normal"/>
        <w:spacing w:lineRule="auto" w:line="360" w:before="200" w:after="1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13. Рекомендуемая литература и источники для выполнения НИР во 2 семестре:</w:t>
      </w:r>
    </w:p>
    <w:p>
      <w:pPr>
        <w:pStyle w:val="ListParagraph"/>
        <w:numPr>
          <w:ilvl w:val="0"/>
          <w:numId w:val="38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Кимбалл Р., Росс М. Инструментарий хранилища данных: полное руководство по размерному моделированию. – 3-е изд. – М.: Вильямс, 2016. – 656 с.</w:t>
      </w:r>
    </w:p>
    <w:p>
      <w:pPr>
        <w:pStyle w:val="ListParagraph"/>
        <w:numPr>
          <w:ilvl w:val="0"/>
          <w:numId w:val="3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Клеппман М. Высоконагруженные приложения. Проектирование, масштабирование, поддержка. – СПб.: Питер, 2018. – 640 с.</w:t>
      </w:r>
    </w:p>
    <w:p>
      <w:pPr>
        <w:pStyle w:val="ListParagraph"/>
        <w:numPr>
          <w:ilvl w:val="0"/>
          <w:numId w:val="40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Гарсиа-Молина Г., Ульман Дж., Уидом Дж. Системы баз данных. Полный курс. – 2-е изд. – М.: Вильямс, 2016. – 1088 с.</w:t>
      </w:r>
    </w:p>
    <w:p>
      <w:pPr>
        <w:pStyle w:val="ListParagraph"/>
        <w:numPr>
          <w:ilvl w:val="0"/>
          <w:numId w:val="41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Карпова И.П. Базы данных: курс лекций и материалы для практических занятий. – СПб.: Питер, 2021. – 240 с.</w:t>
      </w:r>
    </w:p>
    <w:p>
      <w:pPr>
        <w:pStyle w:val="ListParagraph"/>
        <w:numPr>
          <w:ilvl w:val="0"/>
          <w:numId w:val="42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Кузнецов С.Д. Основы баз данных. – 3-е изд. – М.: БИНОМ. Лаборатория знаний, 2020. – 488 с.</w:t>
      </w:r>
    </w:p>
    <w:p>
      <w:pPr>
        <w:pStyle w:val="ListParagraph"/>
        <w:numPr>
          <w:ilvl w:val="0"/>
          <w:numId w:val="43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ГОСТ Р ИСО/МЭК 9075-1–2011. Информационные технологии. Языки баз данных. SQL. Часть 1. Структура (SQL/Framework). – М.: Стандартинформ, 2013. – 32 с.</w:t>
      </w:r>
    </w:p>
    <w:p>
      <w:pPr>
        <w:pStyle w:val="ListParagraph"/>
        <w:numPr>
          <w:ilvl w:val="0"/>
          <w:numId w:val="44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ГОСТ Р 7.0.100–2018. Библиографическая запись. Библиографическое описание. Общие требования и правила составления. – М.: Стандартинформ, 2018. – 124 с.</w:t>
      </w:r>
    </w:p>
    <w:p>
      <w:pPr>
        <w:pStyle w:val="ListParagraph"/>
        <w:numPr>
          <w:ilvl w:val="0"/>
          <w:numId w:val="45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Doan A., Halevy A., Ives Z. Principles of Data Integration. – Waltham: Morgan Kaufmann, 2012. – 520 p.</w:t>
      </w:r>
    </w:p>
    <w:p>
      <w:pPr>
        <w:pStyle w:val="ListParagraph"/>
        <w:numPr>
          <w:ilvl w:val="0"/>
          <w:numId w:val="46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Зильбершатц А., Корт Г., Сударшан С. Системы баз данных. Полный курс (Database System Concepts). – 7-е изд. – New York: McGraw-Hill Education, 2020. – 1376 p.</w:t>
      </w:r>
    </w:p>
    <w:p>
      <w:pPr>
        <w:pStyle w:val="ListParagraph"/>
        <w:numPr>
          <w:ilvl w:val="0"/>
          <w:numId w:val="47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Abadi D., Boncz P., Harizopoulos S. et al. The Design and Implementation of Modern Column-Oriented Database Systems // Foundations and Trends in Databases. – 2013. – Vol. 5, No. 3. – P. 197–280. – DOI: 10.1561/1900000024.</w:t>
      </w:r>
    </w:p>
    <w:p>
      <w:pPr>
        <w:pStyle w:val="ListParagraph"/>
        <w:numPr>
          <w:ilvl w:val="0"/>
          <w:numId w:val="48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Stonebraker M., Abadi D.J., Batkin A. et al. C-Store: A Column-Oriented DBMS // Proc. of the 31st VLDB Conference. – 2005. – P. 553–564.</w:t>
      </w:r>
    </w:p>
    <w:p>
      <w:pPr>
        <w:pStyle w:val="ListParagraph"/>
        <w:numPr>
          <w:ilvl w:val="0"/>
          <w:numId w:val="4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Melnik S., Gubarev A., Long J.J. et al. Dremel: Interactive Analysis of Web-Scale Datasets // Proc. of the VLDB Endowment. – 2010. – Vol. 3, No. 1. – P. 330–339. – DOI: 10.14778/1920841.1920886.</w:t>
      </w:r>
    </w:p>
    <w:p>
      <w:pPr>
        <w:pStyle w:val="ListParagraph"/>
        <w:numPr>
          <w:ilvl w:val="0"/>
          <w:numId w:val="50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Kukreja M. Data Engineering with Apache Spark, Delta Lake, and Lakehouse. – Birmingham: Packt Publishing, 2021. – 480 p.</w:t>
      </w:r>
    </w:p>
    <w:p>
      <w:pPr>
        <w:pStyle w:val="ListParagraph"/>
        <w:numPr>
          <w:ilvl w:val="0"/>
          <w:numId w:val="51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Eagar G. Data Engineering with AWS. – 2nd ed. – Birmingham: Packt Publishing, 2023. – 636 p.</w:t>
      </w:r>
    </w:p>
    <w:p>
      <w:pPr>
        <w:pStyle w:val="ListParagraph"/>
        <w:numPr>
          <w:ilvl w:val="0"/>
          <w:numId w:val="52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Reis J., Housley M. Fundamentals of Data Engineering. – Sebastopol: O’Reilly Media, 2022. – 447 p.</w:t>
      </w:r>
    </w:p>
    <w:p>
      <w:pPr>
        <w:pStyle w:val="ListParagraph"/>
        <w:numPr>
          <w:ilvl w:val="0"/>
          <w:numId w:val="53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Inmon W.H. Building the Data Warehouse. 4th ed. – Indianapolis: Wiley, 2005. – 576 p.</w:t>
      </w:r>
    </w:p>
    <w:p>
      <w:pPr>
        <w:pStyle w:val="ListParagraph"/>
        <w:numPr>
          <w:ilvl w:val="0"/>
          <w:numId w:val="54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Harenslak B., de Ruiter J. Data Pipelines with Apache Airflow. – Shelter Island: Manning Publications, 2021. – 480 p.</w:t>
      </w:r>
    </w:p>
    <w:p>
      <w:pPr>
        <w:pStyle w:val="ListParagraph"/>
        <w:numPr>
          <w:ilvl w:val="0"/>
          <w:numId w:val="55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Петров А. Распределённые данные. Алгоритмы работы современных систем хранения информации. – СПб.: Питер, 2021. – 336 с.</w:t>
      </w:r>
    </w:p>
    <w:p>
      <w:pPr>
        <w:pStyle w:val="ListParagraph"/>
        <w:numPr>
          <w:ilvl w:val="0"/>
          <w:numId w:val="56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Макшанов А.В., Журавлев А.Е., Тындыкарь Л.Н. Большие данные. Big Data: учебник. – 3-е изд., стер. – СПб.: Лань, 2023. – 188 с.</w:t>
      </w:r>
    </w:p>
    <w:p>
      <w:pPr>
        <w:pStyle w:val="ListParagraph"/>
        <w:numPr>
          <w:ilvl w:val="0"/>
          <w:numId w:val="57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Базы данных научных публикаций: Scopus (www.scopus.com), Web of Science (www.webofscience.com), РИНЦ (elibrary.ru), IEEE Xplore (ieeexplore.ieee.org), ACM Digital Library (dl.acm.org), arXiv (arxiv.org).</w:t>
      </w:r>
    </w:p>
    <w:p>
      <w:pPr>
        <w:pStyle w:val="Normal"/>
        <w:spacing w:lineRule="auto" w:line="360" w:before="16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60"/>
        <w:rPr/>
      </w:pPr>
      <w:r>
        <w:rPr>
          <w:rFonts w:eastAsia="Times New Roman" w:cs="Times New Roman"/>
          <w:sz w:val="28"/>
          <w:szCs w:val="28"/>
        </w:rPr>
        <w:t>Дата выдачи задания: «02» июня 2026 г.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5260"/>
        <w:gridCol w:w="4099"/>
      </w:tblGrid>
      <w:tr>
        <w:trPr/>
        <w:tc>
          <w:tcPr>
            <w:tcW w:w="5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 xml:space="preserve">Научный руководитель практики: </w:t>
            </w:r>
            <w:r>
              <w:rPr>
                <w:rFonts w:eastAsia="Times New Roman" w:cs="Times New Roman"/>
                <w:i/>
                <w:iCs/>
                <w:sz w:val="28"/>
                <w:szCs w:val="28"/>
              </w:rPr>
              <w:t>д.т.н., профессор, профессор кафедры программной инженерии и ИТ</w:t>
            </w:r>
          </w:p>
        </w:tc>
        <w:tc>
          <w:tcPr>
            <w:tcW w:w="4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/ Гришин И.Ю. /</w:t>
            </w:r>
          </w:p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i/>
                <w:iCs/>
                <w:sz w:val="20"/>
                <w:szCs w:val="20"/>
              </w:rPr>
              <w:t>(подпись)        (расшифровка подписи)</w:t>
            </w:r>
          </w:p>
        </w:tc>
      </w:tr>
      <w:tr>
        <w:trPr/>
        <w:tc>
          <w:tcPr>
            <w:tcW w:w="5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 xml:space="preserve">Задание принял к исполнению: </w:t>
            </w:r>
            <w:r>
              <w:rPr>
                <w:rFonts w:eastAsia="Times New Roman" w:cs="Times New Roman"/>
                <w:i/>
                <w:iCs/>
                <w:sz w:val="28"/>
                <w:szCs w:val="28"/>
              </w:rPr>
              <w:t>обучающийся</w:t>
            </w:r>
          </w:p>
        </w:tc>
        <w:tc>
          <w:tcPr>
            <w:tcW w:w="4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/ Деменков И.М. /</w:t>
            </w:r>
          </w:p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i/>
                <w:iCs/>
                <w:sz w:val="20"/>
                <w:szCs w:val="20"/>
              </w:rPr>
              <w:t>(подпись)        (расшифровка подписи)</w:t>
            </w:r>
          </w:p>
        </w:tc>
      </w:tr>
    </w:tbl>
    <w:p>
      <w:pPr>
        <w:pStyle w:val="Normal"/>
        <w:spacing w:lineRule="auto" w:line="360" w:before="160" w:after="0"/>
        <w:rPr/>
      </w:pPr>
      <w:r>
        <w:rPr>
          <w:rFonts w:eastAsia="Times New Roman" w:cs="Times New Roman"/>
          <w:sz w:val="28"/>
          <w:szCs w:val="28"/>
        </w:rPr>
        <w:t>«02» июня 2026 г.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1"/>
    <w:lvlOverride w:ilvl="0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9"/>
    <w:lvlOverride w:ilvl="0">
      <w:startOverride w:val="1"/>
    </w:lvlOverride>
  </w:num>
  <w:num w:numId="39">
    <w:abstractNumId w:val="9"/>
  </w:num>
  <w:num w:numId="40">
    <w:abstractNumId w:val="9"/>
  </w:num>
  <w:num w:numId="41">
    <w:abstractNumId w:val="9"/>
  </w:num>
  <w:num w:numId="42">
    <w:abstractNumId w:val="9"/>
  </w:num>
  <w:num w:numId="43">
    <w:abstractNumId w:val="9"/>
  </w:num>
  <w:num w:numId="44">
    <w:abstractNumId w:val="9"/>
  </w:num>
  <w:num w:numId="45">
    <w:abstractNumId w:val="9"/>
  </w:num>
  <w:num w:numId="46">
    <w:abstractNumId w:val="9"/>
  </w:num>
  <w:num w:numId="47">
    <w:abstractNumId w:val="9"/>
  </w:num>
  <w:num w:numId="48">
    <w:abstractNumId w:val="9"/>
  </w:num>
  <w:num w:numId="49">
    <w:abstractNumId w:val="9"/>
  </w:num>
  <w:num w:numId="50">
    <w:abstractNumId w:val="9"/>
  </w:num>
  <w:num w:numId="51">
    <w:abstractNumId w:val="9"/>
  </w:num>
  <w:num w:numId="52">
    <w:abstractNumId w:val="9"/>
  </w:num>
  <w:num w:numId="53">
    <w:abstractNumId w:val="9"/>
  </w:num>
  <w:num w:numId="54">
    <w:abstractNumId w:val="9"/>
  </w:num>
  <w:num w:numId="55">
    <w:abstractNumId w:val="9"/>
  </w:num>
  <w:num w:numId="56">
    <w:abstractNumId w:val="9"/>
  </w:num>
  <w:num w:numId="57">
    <w:abstractNumId w:val="9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10</Pages>
  <Words>1491</Words>
  <Characters>10533</Characters>
  <CharactersWithSpaces>11931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2026-06-03T08:07:15Z</dcterms:created>
  <dc:creator>Un-named</dc:creator>
  <dc:description/>
  <dc:language>en-US</dc:language>
  <cp:lastModifiedBy/>
  <dcterms:modified xsi:type="dcterms:W3CDTF">2026-06-03T11:59:13Z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