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120"/>
        <w:ind w:hanging="0"/>
        <w:jc w:val="center"/>
        <w:rPr/>
      </w:pPr>
      <w:r>
        <w:rPr>
          <w:rFonts w:eastAsia="Times New Roman" w:cs="Times New Roman"/>
          <w:b/>
          <w:bCs/>
          <w:sz w:val="28"/>
          <w:szCs w:val="28"/>
        </w:rPr>
        <w:t>ПРИЛОЖЕНИЕ А</w:t>
      </w:r>
    </w:p>
    <w:p>
      <w:pPr>
        <w:pStyle w:val="Normal"/>
        <w:spacing w:lineRule="auto" w:line="360" w:before="0" w:after="240"/>
        <w:ind w:hanging="0"/>
        <w:jc w:val="center"/>
        <w:rPr/>
      </w:pPr>
      <w:r>
        <w:rPr>
          <w:rFonts w:eastAsia="Times New Roman" w:cs="Times New Roman"/>
          <w:b/>
          <w:bCs/>
          <w:sz w:val="28"/>
          <w:szCs w:val="28"/>
        </w:rPr>
        <w:t>Схема воспроизводимого применения нейрокомпьютерной системы</w:t>
      </w:r>
    </w:p>
    <w:p>
      <w:pPr>
        <w:pStyle w:val="Normal"/>
        <w:spacing w:lineRule="auto" w:line="360" w:before="0" w:after="360"/>
        <w:ind w:hanging="0"/>
        <w:jc w:val="center"/>
        <w:rPr/>
      </w:pPr>
      <w:r>
        <w:rPr>
          <w:rFonts w:eastAsia="Times New Roman" w:cs="Times New Roman"/>
          <w:b/>
          <w:bCs/>
          <w:sz w:val="28"/>
          <w:szCs w:val="28"/>
        </w:rPr>
        <w:t>к задаче предсказания климатических изменений</w:t>
      </w:r>
    </w:p>
    <w:p>
      <w:pPr>
        <w:pStyle w:val="Normal"/>
        <w:spacing w:lineRule="auto" w:line="360" w:before="0" w:after="0"/>
        <w:ind w:firstLine="708"/>
        <w:jc w:val="both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Ниже приведена пошаговая схема, обобщающая практическую часть работы и предназначенная для самостоятельного выполнения вычислительного эксперимента с использованием реальных открытых данных. Схема не содержит вымышленных числовых результатов: предполагается, что значения метрик и параметров будут получены пользователем при выполнении соответствующих этапов.</w:t>
      </w:r>
    </w:p>
    <w:p>
      <w:pPr>
        <w:pStyle w:val="Normal"/>
        <w:spacing w:lineRule="auto" w:line="360"/>
        <w:ind w:firstLine="708"/>
        <w:jc w:val="both"/>
        <w:rPr/>
      </w:pPr>
      <w:r>
        <w:rPr>
          <w:rFonts w:eastAsia="Times New Roman" w:cs="Times New Roman"/>
          <w:sz w:val="28"/>
          <w:szCs w:val="28"/>
        </w:rPr>
        <w:t>1) Выбрать открытый источник климатических данных: NASA GISTEMP, NOAAGlobalTemp, ERA5 или Copernicus Climate Data Store. Зафиксировать версию данных, период наблюдений, пространственное покрытие и дату обращения.</w:t>
      </w:r>
    </w:p>
    <w:p>
      <w:pPr>
        <w:pStyle w:val="Normal"/>
        <w:spacing w:lineRule="auto" w:line="360"/>
        <w:ind w:firstLine="708"/>
        <w:jc w:val="both"/>
        <w:rPr/>
      </w:pPr>
      <w:r>
        <w:rPr>
          <w:rFonts w:eastAsia="Times New Roman" w:cs="Times New Roman"/>
          <w:sz w:val="28"/>
          <w:szCs w:val="28"/>
        </w:rPr>
        <w:t>2) Загрузить данные в исходном формате (CSV, NetCDF, GRIB). Проверить единицы измерения и согласованность временного индекса.</w:t>
      </w:r>
    </w:p>
    <w:p>
      <w:pPr>
        <w:pStyle w:val="Normal"/>
        <w:spacing w:lineRule="auto" w:line="360"/>
        <w:ind w:firstLine="708"/>
        <w:jc w:val="both"/>
        <w:rPr/>
      </w:pPr>
      <w:r>
        <w:rPr>
          <w:rFonts w:eastAsia="Times New Roman" w:cs="Times New Roman"/>
          <w:sz w:val="28"/>
          <w:szCs w:val="28"/>
        </w:rPr>
        <w:t>3) Выполнить очистку данных: поиск пропусков, выбросов и физически невозможных значений. Документировать применённые правила обработки.</w:t>
      </w:r>
    </w:p>
    <w:p>
      <w:pPr>
        <w:pStyle w:val="Normal"/>
        <w:spacing w:lineRule="auto" w:line="360"/>
        <w:ind w:firstLine="708"/>
        <w:jc w:val="both"/>
        <w:rPr/>
      </w:pPr>
      <w:r>
        <w:rPr>
          <w:rFonts w:eastAsia="Times New Roman" w:cs="Times New Roman"/>
          <w:sz w:val="28"/>
          <w:szCs w:val="28"/>
        </w:rPr>
        <w:t>4) Разделить временной ряд на обучающий, валидационный и тестовый периоды без случайного перемешивания. Зафиксировать границы периодов.</w:t>
      </w:r>
    </w:p>
    <w:p>
      <w:pPr>
        <w:pStyle w:val="Normal"/>
        <w:spacing w:lineRule="auto" w:line="360"/>
        <w:ind w:firstLine="708"/>
        <w:jc w:val="both"/>
        <w:rPr/>
      </w:pPr>
      <w:r>
        <w:rPr>
          <w:rFonts w:eastAsia="Times New Roman" w:cs="Times New Roman"/>
          <w:sz w:val="28"/>
          <w:szCs w:val="28"/>
        </w:rPr>
        <w:t>5) Нормализовать признаки по статистикам обучающей выборки. Сохранить параметры нормализации для повторного применения.</w:t>
      </w:r>
    </w:p>
    <w:p>
      <w:pPr>
        <w:pStyle w:val="Normal"/>
        <w:spacing w:lineRule="auto" w:line="360"/>
        <w:ind w:firstLine="708"/>
        <w:jc w:val="both"/>
        <w:rPr/>
      </w:pPr>
      <w:r>
        <w:rPr>
          <w:rFonts w:eastAsia="Times New Roman" w:cs="Times New Roman"/>
          <w:sz w:val="28"/>
          <w:szCs w:val="28"/>
        </w:rPr>
        <w:t>6) Сформировать временные окна для входа нейронной сети (рекомендуемая длина окна – 12–36 месяцев).</w:t>
      </w:r>
    </w:p>
    <w:p>
      <w:pPr>
        <w:pStyle w:val="Normal"/>
        <w:spacing w:lineRule="auto" w:line="360"/>
        <w:ind w:firstLine="708"/>
        <w:jc w:val="both"/>
        <w:rPr/>
      </w:pPr>
      <w:r>
        <w:rPr>
          <w:rFonts w:eastAsia="Times New Roman" w:cs="Times New Roman"/>
          <w:sz w:val="28"/>
          <w:szCs w:val="28"/>
        </w:rPr>
        <w:t>7) Обучить базовые модели (наивный прогноз, линейная регрессия, ARIMA) как эталон сравнения.</w:t>
      </w:r>
    </w:p>
    <w:p>
      <w:pPr>
        <w:pStyle w:val="Normal"/>
        <w:spacing w:lineRule="auto" w:line="360"/>
        <w:ind w:firstLine="708"/>
        <w:jc w:val="both"/>
        <w:rPr/>
      </w:pPr>
      <w:r>
        <w:rPr>
          <w:rFonts w:eastAsia="Times New Roman" w:cs="Times New Roman"/>
          <w:sz w:val="28"/>
          <w:szCs w:val="28"/>
        </w:rPr>
        <w:t>8) Обучить LSTM/GRU-модель с подбором гиперпараметров по валидационной выборке.</w:t>
      </w:r>
    </w:p>
    <w:p>
      <w:pPr>
        <w:pStyle w:val="Normal"/>
        <w:spacing w:lineRule="auto" w:line="360"/>
        <w:ind w:firstLine="708"/>
        <w:jc w:val="both"/>
        <w:rPr/>
      </w:pPr>
      <w:r>
        <w:rPr>
          <w:rFonts w:eastAsia="Times New Roman" w:cs="Times New Roman"/>
          <w:sz w:val="28"/>
          <w:szCs w:val="28"/>
        </w:rPr>
        <w:t>9) Оценить качество прогноза на тестовой выборке по метрикам MAE, RMSE и R². Выполнить анализ остатков и визуальную диагностику.</w:t>
      </w:r>
    </w:p>
    <w:p>
      <w:pPr>
        <w:pStyle w:val="Normal"/>
        <w:spacing w:lineRule="auto" w:line="360"/>
        <w:ind w:firstLine="708"/>
        <w:jc w:val="both"/>
        <w:rPr/>
      </w:pPr>
      <w:r>
        <w:rPr>
          <w:rFonts w:eastAsia="Times New Roman" w:cs="Times New Roman"/>
          <w:sz w:val="28"/>
          <w:szCs w:val="28"/>
        </w:rPr>
        <w:t>10) Описать ограничения, источники ошибок и границы применимости модели. Сформулировать выводы относительно использования нейрокомпьютерных систем в задаче.</w:t>
      </w:r>
    </w:p>
    <w:p>
      <w:pPr>
        <w:pStyle w:val="Normal"/>
        <w:spacing w:lineRule="auto" w:line="360" w:before="0" w:after="0"/>
        <w:ind w:firstLine="708"/>
        <w:jc w:val="both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Выполнение приведённой схемы позволяет получить проверяемый практический результат без использования условных или вымышленных значений и обеспечивает соответствие работы требованиям достоверности и воспроизводимости.</w:t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701" w:right="567" w:gutter="0" w:header="708" w:top="1134" w:footer="0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ind w:hanging="0"/>
      <w:jc w:val="end"/>
      <w:rPr/>
    </w:pPr>
    <w:r>
      <w:rPr>
        <w:rFonts w:eastAsia="Times New Roman" w:cs="Times New Roman"/>
        <w:b w:val="false"/>
        <w:bCs w:val="false"/>
        <w:i w:val="false"/>
        <w:iCs w:val="false"/>
        <w:sz w:val="28"/>
        <w:szCs w:val="28"/>
      </w:rPr>
      <w:fldChar w:fldCharType="begin"/>
    </w:r>
    <w:r>
      <w:rPr>
        <w:rFonts w:eastAsia="Times New Roman" w:cs="Times New Roman"/>
        <w:b w:val="false"/>
        <w:bCs w:val="false"/>
        <w:i w:val="false"/>
        <w:iCs w:val="false"/>
        <w:sz w:val="28"/>
        <w:szCs w:val="28"/>
      </w:rPr>
      <w:instrText xml:space="preserve"> PAGE </w:instrText>
    </w:r>
    <w:r>
      <w:rPr>
        <w:rFonts w:eastAsia="Times New Roman" w:cs="Times New Roman"/>
        <w:b w:val="false"/>
        <w:bCs w:val="false"/>
        <w:i w:val="false"/>
        <w:iCs w:val="false"/>
        <w:sz w:val="28"/>
        <w:szCs w:val="28"/>
      </w:rPr>
      <w:fldChar w:fldCharType="separate"/>
    </w:r>
    <w:r>
      <w:rPr>
        <w:rFonts w:eastAsia="Times New Roman" w:cs="Times New Roman"/>
        <w:b w:val="false"/>
        <w:bCs w:val="false"/>
        <w:i w:val="false"/>
        <w:iCs w:val="false"/>
        <w:sz w:val="28"/>
        <w:szCs w:val="28"/>
      </w:rPr>
      <w:t>2</w:t>
    </w:r>
    <w:r>
      <w:rPr>
        <w:rFonts w:eastAsia="Times New Roman" w:cs="Times New Roman"/>
        <w:b w:val="false"/>
        <w:bCs w:val="false"/>
        <w:i w:val="false"/>
        <w:iCs w:val="false"/>
        <w:sz w:val="28"/>
        <w:szCs w:val="28"/>
      </w:rPr>
      <w:fldChar w:fldCharType="end"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75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sz w:val="28"/>
        <w:szCs w:val="28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360" w:before="0" w:after="0"/>
      <w:jc w:val="start"/>
    </w:pPr>
    <w:rPr>
      <w:rFonts w:ascii="Times New Roman" w:hAnsi="Times New Roman" w:eastAsia="Times New Roman" w:cs="Times New Roman"/>
      <w:color w:val="auto"/>
      <w:kern w:val="0"/>
      <w:sz w:val="28"/>
      <w:szCs w:val="28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Charactersuser">
    <w:name w:val="Footnote Characters (user)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Charactersuser">
    <w:name w:val="Endnote Characters (user)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lineRule="auto" w:line="360" w:before="0" w:after="0"/>
      <w:jc w:val="start"/>
    </w:pPr>
    <w:rPr>
      <w:rFonts w:ascii="Times New Roman" w:hAnsi="Times New Roman" w:eastAsia="Times New Roman" w:cs="Times New Roman"/>
      <w:b/>
      <w:bCs/>
      <w:color w:val="auto"/>
      <w:kern w:val="0"/>
      <w:sz w:val="28"/>
      <w:szCs w:val="28"/>
      <w:lang w:val="en-US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lineRule="auto" w:line="360" w:before="0" w:after="0"/>
      <w:jc w:val="start"/>
    </w:pPr>
    <w:rPr>
      <w:rFonts w:ascii="Times New Roman" w:hAnsi="Times New Roman" w:eastAsia="Times New Roman" w:cs="Times New Roman"/>
      <w:color w:val="auto"/>
      <w:kern w:val="0"/>
      <w:sz w:val="28"/>
      <w:szCs w:val="28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LibreOffice/26.2.3.2$MacOSX_X86_64 LibreOffice_project/70e089b17412e4cb7773e41413306b17a2328c34</Application>
  <AppVersion>15.0000</AppVersion>
  <Pages>2</Pages>
  <Words>232</Words>
  <Characters>1759</Characters>
  <CharactersWithSpaces>1973</CharactersWithSpaces>
  <Paragraphs>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2026-05-24T11:29:11Z</dcterms:created>
  <dc:creator>Деменков И.М.</dc:creator>
  <dc:description>Курсовая работа по дисциплине «Нейрокомпьютерные системы»</dc:description>
  <dc:language>en-US</dc:language>
  <cp:lastModifiedBy/>
  <dcterms:modified xsi:type="dcterms:W3CDTF">2026-05-24T15:42:04Z</dcterms:modified>
  <cp:revision>5</cp:revision>
  <dc:subject/>
  <dc:title>Использование нейрокомпьютерных систем для предсказания климатических изменений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