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/>
          <w:bCs/>
          <w:sz w:val="28"/>
          <w:szCs w:val="28"/>
        </w:rPr>
        <w:t>Министерство просвещения Российской Федерации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/>
          <w:bCs/>
          <w:sz w:val="28"/>
          <w:szCs w:val="28"/>
        </w:rPr>
        <w:t>высшего образования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/>
          <w:bCs/>
          <w:sz w:val="28"/>
          <w:szCs w:val="28"/>
        </w:rPr>
        <w:t>«Херсонский государственный педагогический университет»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/>
          <w:bCs/>
          <w:sz w:val="28"/>
          <w:szCs w:val="28"/>
        </w:rPr>
        <w:t>Институт информационных технологий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Кафедра программной инженерии и информационных технологий</w:t>
      </w:r>
    </w:p>
    <w:p>
      <w:pPr>
        <w:pStyle w:val="Normal"/>
        <w:spacing w:lineRule="auto" w:line="360" w:before="0" w:after="40"/>
        <w:jc w:val="right"/>
        <w:rPr/>
      </w:pPr>
      <w:r>
        <w:rPr>
          <w:rFonts w:eastAsia="Times New Roman" w:cs="Times New Roman"/>
          <w:sz w:val="28"/>
          <w:szCs w:val="28"/>
        </w:rPr>
        <w:t>УТВЕРЖДАЮ</w:t>
      </w:r>
    </w:p>
    <w:p>
      <w:pPr>
        <w:pStyle w:val="Normal"/>
        <w:spacing w:lineRule="auto" w:line="360" w:before="0" w:after="40"/>
        <w:jc w:val="right"/>
        <w:rPr/>
      </w:pPr>
      <w:r>
        <w:rPr>
          <w:rFonts w:eastAsia="Times New Roman" w:cs="Times New Roman"/>
          <w:sz w:val="28"/>
          <w:szCs w:val="28"/>
        </w:rPr>
        <w:t>Руководитель практики (НИР)</w:t>
      </w:r>
    </w:p>
    <w:p>
      <w:pPr>
        <w:pStyle w:val="Normal"/>
        <w:spacing w:lineRule="auto" w:line="360" w:before="0" w:after="40"/>
        <w:jc w:val="right"/>
        <w:rPr/>
      </w:pPr>
      <w:r>
        <w:rPr>
          <w:rFonts w:eastAsia="Times New Roman" w:cs="Times New Roman"/>
          <w:sz w:val="28"/>
          <w:szCs w:val="28"/>
        </w:rPr>
        <w:t>профессор ___________ Гришин И.Ю.</w:t>
      </w:r>
    </w:p>
    <w:p>
      <w:pPr>
        <w:pStyle w:val="Normal"/>
        <w:spacing w:lineRule="auto" w:line="360" w:before="0" w:after="40"/>
        <w:jc w:val="right"/>
        <w:rPr/>
      </w:pPr>
      <w:r>
        <w:rPr>
          <w:rFonts w:eastAsia="Times New Roman" w:cs="Times New Roman"/>
          <w:sz w:val="20"/>
          <w:szCs w:val="20"/>
        </w:rPr>
        <w:t>(подпись)</w:t>
      </w:r>
    </w:p>
    <w:p>
      <w:pPr>
        <w:pStyle w:val="Normal"/>
        <w:spacing w:lineRule="auto" w:line="360" w:before="0" w:after="240"/>
        <w:jc w:val="right"/>
        <w:rPr/>
      </w:pPr>
      <w:r>
        <w:rPr>
          <w:rFonts w:eastAsia="Times New Roman" w:cs="Times New Roman"/>
          <w:sz w:val="28"/>
          <w:szCs w:val="28"/>
        </w:rPr>
        <w:t>«__» __________ 2026 г.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ИНДИВИДУАЛЬНОЕ ЗАДАНИЕ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 производственную практику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(научно-исследовательская работа)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2 семестр (теоретико-аналитический этап)</w:t>
      </w:r>
    </w:p>
    <w:p>
      <w:pPr>
        <w:pStyle w:val="Normal"/>
        <w:spacing w:lineRule="auto" w:line="360" w:before="0" w:after="120"/>
        <w:rPr/>
      </w:pPr>
      <w:r>
        <w:rPr>
          <w:rFonts w:eastAsia="Times New Roman" w:cs="Times New Roman"/>
          <w:sz w:val="28"/>
          <w:szCs w:val="28"/>
        </w:rPr>
        <w:t>Обучающемуся Деменкову Ивану Михайловичу</w:t>
      </w:r>
    </w:p>
    <w:p>
      <w:pPr>
        <w:pStyle w:val="Normal"/>
        <w:spacing w:lineRule="auto" w:line="360" w:before="0" w:after="100"/>
        <w:jc w:val="center"/>
        <w:rPr/>
      </w:pPr>
      <w:r>
        <w:rPr>
          <w:rFonts w:eastAsia="Times New Roman" w:cs="Times New Roman"/>
          <w:sz w:val="20"/>
          <w:szCs w:val="20"/>
        </w:rPr>
        <w:t>(фамилия, имя, отчество)</w:t>
      </w:r>
    </w:p>
    <w:p>
      <w:pPr>
        <w:pStyle w:val="Normal"/>
        <w:spacing w:lineRule="auto" w:line="360" w:before="0" w:after="120"/>
        <w:rPr/>
      </w:pPr>
      <w:r>
        <w:rPr>
          <w:rFonts w:eastAsia="Times New Roman" w:cs="Times New Roman"/>
          <w:sz w:val="28"/>
          <w:szCs w:val="28"/>
        </w:rPr>
        <w:t>Направление подготовки: 09.04.04 «Программная инженерия»</w:t>
      </w:r>
    </w:p>
    <w:p>
      <w:pPr>
        <w:pStyle w:val="Normal"/>
        <w:spacing w:lineRule="auto" w:line="360" w:before="0" w:after="120"/>
        <w:rPr/>
      </w:pPr>
      <w:r>
        <w:rPr>
          <w:rFonts w:eastAsia="Times New Roman" w:cs="Times New Roman"/>
          <w:sz w:val="28"/>
          <w:szCs w:val="28"/>
        </w:rPr>
        <w:t>Направленность (профиль): Разработка программно-информационных систем</w:t>
      </w:r>
    </w:p>
    <w:p>
      <w:pPr>
        <w:pStyle w:val="Normal"/>
        <w:spacing w:lineRule="auto" w:line="360" w:before="0" w:after="120"/>
        <w:rPr/>
      </w:pPr>
      <w:r>
        <w:rPr>
          <w:rFonts w:eastAsia="Times New Roman" w:cs="Times New Roman"/>
          <w:sz w:val="28"/>
          <w:szCs w:val="28"/>
        </w:rPr>
        <w:t>Форма обучения: заочная</w:t>
      </w:r>
    </w:p>
    <w:p>
      <w:pPr>
        <w:pStyle w:val="Normal"/>
        <w:spacing w:lineRule="auto" w:line="360" w:before="0" w:after="120"/>
        <w:rPr/>
      </w:pPr>
      <w:r>
        <w:rPr>
          <w:rFonts w:eastAsia="Times New Roman" w:cs="Times New Roman"/>
          <w:sz w:val="28"/>
          <w:szCs w:val="28"/>
        </w:rPr>
        <w:t>Курс: 1   Группа: 12-25 РПмз</w:t>
      </w:r>
    </w:p>
    <w:p>
      <w:pPr>
        <w:pStyle w:val="Normal"/>
        <w:spacing w:lineRule="auto" w:line="360" w:before="0" w:after="120"/>
        <w:rPr/>
      </w:pPr>
      <w:r>
        <w:rPr>
          <w:rFonts w:eastAsia="Times New Roman" w:cs="Times New Roman"/>
          <w:sz w:val="28"/>
          <w:szCs w:val="28"/>
        </w:rPr>
        <w:t>Семестр прохождения практики: 2 (теоретико-аналитический этап)</w:t>
      </w:r>
    </w:p>
    <w:p>
      <w:pPr>
        <w:pStyle w:val="Normal"/>
        <w:spacing w:lineRule="auto" w:line="360" w:before="200" w:after="1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1. Тема научно-исследовательской работы: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Методы оптимизации хранения и обработки данных при синхронизации разнородных источников с аналитическим хранилищем</w:t>
      </w:r>
    </w:p>
    <w:p>
      <w:pPr>
        <w:pStyle w:val="Normal"/>
        <w:spacing w:lineRule="auto" w:line="360" w:before="20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2. Место прохождения практики: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Кафедра программной инженерии и информационных технологий Института информационных технологий ФГБОУ ВО «Херсонский государственный педагогический университет»</w:t>
      </w:r>
    </w:p>
    <w:p>
      <w:pPr>
        <w:pStyle w:val="Normal"/>
        <w:spacing w:lineRule="auto" w:line="360" w:before="20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3. Срок прохождения практики: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с «02» июня 2026 г. по «13» июня 2026 г.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Трудоёмкость 2 семестра практики: 3 з.е. (108 академических часов)</w:t>
      </w:r>
    </w:p>
    <w:p>
      <w:pPr>
        <w:pStyle w:val="Normal"/>
        <w:spacing w:lineRule="auto" w:line="360" w:before="20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4. Цель научно-исследовательской работы во 2 семестре: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сформировать научно-методическую основу исследования: провести углублённый аналитический обзор современных подходов к оптимизации хранения и обработки данных при синхронизации разнородных источников (реляционных и документоориентированных СУБД) с облачным аналитическим хранилищем, обосновать постановку научной задачи и разработать теоретические модели и методы оптимизации, обеспечивающие повышение производительности обработки данных и снижение издержек выполнения аналитических запросов в хранилище.</w:t>
      </w:r>
    </w:p>
    <w:p>
      <w:pPr>
        <w:pStyle w:val="Normal"/>
        <w:spacing w:lineRule="auto" w:line="360" w:before="20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5. Задачи научно-исследовательской работы во 2 семестре:</w:t>
      </w:r>
    </w:p>
    <w:p>
      <w:pPr>
        <w:pStyle w:val="ListParagraph"/>
        <w:numPr>
          <w:ilvl w:val="0"/>
          <w:numId w:val="12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ознакомиться с современным состоянием научных исследований в области хранения и обработки данных при интеграции разнородных источников с аналитическими хранилищами; провести поиск и анализ научных публикаций в наукометрических базах данных Scopus, Web of Science, РИНЦ, IEEE Xplore, ACM Digital Library и arXiv с учётом требования к минимальному количеству источников (не менее 20);</w:t>
      </w:r>
    </w:p>
    <w:p>
      <w:pPr>
        <w:pStyle w:val="ListParagraph"/>
        <w:numPr>
          <w:ilvl w:val="0"/>
          <w:numId w:val="13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выполнить систематический обзор и сравнительный анализ методов интеграции данных (ETL/ELT), моделей хранения (строковое и колоночное хранение, партиционирование, кластеризация), стратегий инкрементальной загрузки (Change Data Capture, операции MERGE/UPSERT) и форматов хранения (Parquet, ORC, Avro); выявить достоинства и недостатки известных подходов применительно к синхронизации разнородных источников;</w:t>
      </w:r>
    </w:p>
    <w:p>
      <w:pPr>
        <w:pStyle w:val="ListParagraph"/>
        <w:numPr>
          <w:ilvl w:val="0"/>
          <w:numId w:val="14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сформулировать обоснованную постановку научной задачи исследования с указанием выявленных ограничений в существующих подходах к оптимизации хранения и обработки данных и обозначением направлений их преодоления;</w:t>
      </w:r>
    </w:p>
    <w:p>
      <w:pPr>
        <w:pStyle w:val="ListParagraph"/>
        <w:numPr>
          <w:ilvl w:val="0"/>
          <w:numId w:val="15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сформулировать функциональные и нефункциональные требования к разрабатываемым методам и моделям оптимизации (производительность, стоимость выполнения запросов, согласованность, масштабируемость, воспроизводимость) на основе результатов аналитического обзора и применимых стандартов;</w:t>
      </w:r>
    </w:p>
    <w:p>
      <w:pPr>
        <w:pStyle w:val="ListParagraph"/>
        <w:numPr>
          <w:ilvl w:val="0"/>
          <w:numId w:val="16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обосновать выбор теоретического подхода к оптимизации (сопоставление моделей данных и схем хранения, стратегий инкрементальной загрузки, методов оптимизации запросов; применимость колоночного хранения, партиционирования, кластеризации и материализованных представлений);</w:t>
      </w:r>
    </w:p>
    <w:p>
      <w:pPr>
        <w:pStyle w:val="ListParagraph"/>
        <w:numPr>
          <w:ilvl w:val="0"/>
          <w:numId w:val="17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разработать концептуальную и логическую модели процесса оптимизированной синхронизации и обработки данных, выполнить их формализацию средствами UML и инфологического (ER) моделирования с учётом особенностей источников MySQL и MongoDB и аналитического хранилища Google BigQuery;</w:t>
      </w:r>
    </w:p>
    <w:p>
      <w:pPr>
        <w:pStyle w:val="ListParagraph"/>
        <w:numPr>
          <w:ilvl w:val="0"/>
          <w:numId w:val="18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проанализировать свойства, ограничения и области применимости разработанных методов и моделей в контексте процессов синхронизации разнородных источников с аналитическим хранилищем, обосновать их преимущества по сравнению с известными аналогами и подготовить основу для экспериментальной апробации в 3 семестре;</w:t>
      </w:r>
    </w:p>
    <w:p>
      <w:pPr>
        <w:pStyle w:val="ListParagraph"/>
        <w:numPr>
          <w:ilvl w:val="0"/>
          <w:numId w:val="19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оформить материалы по результатам 2 семестра в виде промежуточного отчёта объёмом 15–20 страниц и подготовиться к промежуточной аттестации в форме зачёта с оценкой.</w:t>
      </w:r>
    </w:p>
    <w:p>
      <w:pPr>
        <w:pStyle w:val="Normal"/>
        <w:spacing w:lineRule="auto" w:line="360" w:before="20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6. Объект исследования: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процессы хранения и обработки данных в системах синхронизации разнородных источников (реляционных и документоориентированных СУБД) с аналитическим хранилищем, в том числе процессы извлечения, преобразования, инкрементальной загрузки, слияния данных и оптимизации структур их хранения.</w:t>
      </w:r>
    </w:p>
    <w:p>
      <w:pPr>
        <w:pStyle w:val="Normal"/>
        <w:spacing w:lineRule="auto" w:line="360" w:before="20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7. Предмет исследования: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модели, методы и средства оптимизации хранения и обработки данных, обеспечивающие повышение производительности и снижение издержек выполнения аналитических запросов на основе колоночного хранения, партиционирования, кластеризации и оптимизированных стратегий инкрементальной загрузки данных в аналитическое хранилище.</w:t>
      </w:r>
    </w:p>
    <w:p>
      <w:pPr>
        <w:pStyle w:val="Normal"/>
        <w:spacing w:lineRule="auto" w:line="360" w:before="20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8. Методы исследования, применяемые во 2 семестре: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системный анализ предметной области хранения и обработки данных; критический анализ научных публикаций в области инженерии данных, баз данных и аналитических хранилищ; методы классификации и сравнительного анализа методов хранения и обработки данных; методы математического и алгоритмического моделирования процессов обработки данных; методы проектирования и оптимизации структур хранения данных; методы оценки производительности (бенчмаркинг, профилирование запросов); объектно-ориентированное и инфологическое моделирование с использованием UML и ER-нотаций.</w:t>
      </w:r>
    </w:p>
    <w:p>
      <w:pPr>
        <w:pStyle w:val="Normal"/>
        <w:spacing w:lineRule="auto" w:line="360" w:before="200" w:after="1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9. Ожидаемые результаты практики во 2 семестре:</w:t>
      </w:r>
    </w:p>
    <w:p>
      <w:pPr>
        <w:pStyle w:val="Normal"/>
        <w:spacing w:lineRule="auto" w:line="360" w:before="0" w:after="100"/>
        <w:ind w:hanging="200" w:left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оформленный и утверждённый научным руководителем и заведующим кафедрой комплект документов: индивидуальное задание и календарный план прохождения практики;</w:t>
      </w:r>
    </w:p>
    <w:p>
      <w:pPr>
        <w:pStyle w:val="Normal"/>
        <w:spacing w:lineRule="auto" w:line="360" w:before="0" w:after="100"/>
        <w:ind w:hanging="200" w:left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развёрнутый аннотированный список научных источников по теме исследования объёмом не менее 20 публикаций, оформленный в соответствии с ГОСТ Р 7.0.100–2018 (не менее 30 % источников опубликованы за последние 5 лет и не менее 30 % – на иностранных языках);</w:t>
      </w:r>
    </w:p>
    <w:p>
      <w:pPr>
        <w:pStyle w:val="Normal"/>
        <w:spacing w:lineRule="auto" w:line="360" w:before="0" w:after="100"/>
        <w:ind w:hanging="200" w:left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оформленный аналитический обзор современных подходов к оптимизации хранения и обработки данных объёмом 4–6 страниц, представляющий основу главы 1 итогового отчёта по практике;</w:t>
      </w:r>
    </w:p>
    <w:p>
      <w:pPr>
        <w:pStyle w:val="Normal"/>
        <w:spacing w:lineRule="auto" w:line="360" w:before="0" w:after="100"/>
        <w:ind w:hanging="200" w:left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чётко сформулированная и обоснованная постановка научной задачи исследования с выделением исследовательских «зазоров» в существующих решениях;</w:t>
      </w:r>
    </w:p>
    <w:p>
      <w:pPr>
        <w:pStyle w:val="Normal"/>
        <w:spacing w:lineRule="auto" w:line="360" w:before="0" w:after="100"/>
        <w:ind w:hanging="200" w:left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сформулированный перечень функциональных и нефункциональных требований к разрабатываемым методам и моделям оптимизации;</w:t>
      </w:r>
    </w:p>
    <w:p>
      <w:pPr>
        <w:pStyle w:val="Normal"/>
        <w:spacing w:lineRule="auto" w:line="360" w:before="0" w:after="100"/>
        <w:ind w:hanging="200" w:left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разработанные и формализованные средствами UML/ER концептуальная и логическая модели оптимизированной синхронизации и обработки данных, представляющие основу главы 2 итогового отчёта (объёмом 3–5 страниц);</w:t>
      </w:r>
    </w:p>
    <w:p>
      <w:pPr>
        <w:pStyle w:val="Normal"/>
        <w:spacing w:lineRule="auto" w:line="360" w:before="0" w:after="100"/>
        <w:ind w:hanging="200" w:left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выполненный анализ свойств, ограничений и областей применимости разработанных методов; обоснование их преимуществ по сравнению с известными аналогами;</w:t>
      </w:r>
    </w:p>
    <w:p>
      <w:pPr>
        <w:pStyle w:val="Normal"/>
        <w:spacing w:lineRule="auto" w:line="360" w:before="0" w:after="100"/>
        <w:ind w:hanging="200" w:left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промежуточный отчёт о выполнении практики во 2 семестре объёмом 15–20 страниц для промежуточной аттестации.</w:t>
      </w:r>
    </w:p>
    <w:p>
      <w:pPr>
        <w:pStyle w:val="Normal"/>
        <w:spacing w:lineRule="auto" w:line="360" w:before="200" w:after="1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10. Формы отчётности по практике во 2 семестре:</w:t>
      </w:r>
    </w:p>
    <w:p>
      <w:pPr>
        <w:pStyle w:val="Normal"/>
        <w:spacing w:lineRule="auto" w:line="360" w:before="0" w:after="100"/>
        <w:ind w:hanging="200" w:left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промежуточный отчёт о выполнении практики во 2 семестре (15–20 страниц);</w:t>
      </w:r>
    </w:p>
    <w:p>
      <w:pPr>
        <w:pStyle w:val="Normal"/>
        <w:spacing w:lineRule="auto" w:line="360" w:before="0" w:after="100"/>
        <w:ind w:hanging="200" w:left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презентация результатов НИР во 2 семестре (7–10 слайдов) для защиты на промежуточной аттестации;</w:t>
      </w:r>
    </w:p>
    <w:p>
      <w:pPr>
        <w:pStyle w:val="Normal"/>
        <w:spacing w:lineRule="auto" w:line="360" w:before="0" w:after="100"/>
        <w:ind w:hanging="200" w:left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аннотированный список научных источников по теме НИР (не менее 20 источников);</w:t>
      </w:r>
    </w:p>
    <w:p>
      <w:pPr>
        <w:pStyle w:val="Normal"/>
        <w:spacing w:lineRule="auto" w:line="360" w:before="0" w:after="100"/>
        <w:ind w:hanging="200" w:left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заполненный и подписанный график прохождения практики во 2 семестре с отметками о выполнении каждого этапа.</w:t>
      </w:r>
    </w:p>
    <w:p>
      <w:pPr>
        <w:pStyle w:val="Normal"/>
        <w:spacing w:lineRule="auto" w:line="360" w:before="20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11. Форма промежуточной аттестации по итогам 2 семестра: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зачёт (промежуточный) – с оценкой. Итоговая оценка (зачёт с оценкой) по производственной практике выставляется по итогам 3 семестра.</w:t>
      </w:r>
    </w:p>
    <w:p>
      <w:pPr>
        <w:pStyle w:val="Normal"/>
        <w:spacing w:lineRule="auto" w:line="360" w:before="20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12. Содержание и сроки выполнения этапов НИР во 2 семестре: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55"/>
        <w:gridCol w:w="1970"/>
        <w:gridCol w:w="3384"/>
        <w:gridCol w:w="841"/>
        <w:gridCol w:w="1162"/>
        <w:gridCol w:w="1447"/>
      </w:tblGrid>
      <w:tr>
        <w:trPr>
          <w:tblHeader w:val="true"/>
        </w:trPr>
        <w:tc>
          <w:tcPr>
            <w:tcW w:w="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3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Содержание работы</w:t>
            </w:r>
          </w:p>
        </w:tc>
        <w:tc>
          <w:tcPr>
            <w:tcW w:w="8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Часы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Срок</w:t>
            </w:r>
          </w:p>
        </w:tc>
        <w:tc>
          <w:tcPr>
            <w:tcW w:w="1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Форма отчётности</w:t>
            </w:r>
          </w:p>
        </w:tc>
      </w:tr>
      <w:tr>
        <w:trPr/>
        <w:tc>
          <w:tcPr>
            <w:tcW w:w="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19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Подготовительный</w:t>
            </w:r>
          </w:p>
        </w:tc>
        <w:tc>
          <w:tcPr>
            <w:tcW w:w="3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Знакомство с тематикой кафедры в области инженерии данных и интеграционных систем; выбор и согласование темы НИР; формулирование цели, задач, объекта и предмета исследования; разработка индивидуального плана; согласование графика прохождения практики</w:t>
            </w:r>
          </w:p>
        </w:tc>
        <w:tc>
          <w:tcPr>
            <w:tcW w:w="8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02.06.2026</w:t>
            </w:r>
          </w:p>
        </w:tc>
        <w:tc>
          <w:tcPr>
            <w:tcW w:w="1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Индивидуальное задание; календарный план НИР</w:t>
            </w:r>
          </w:p>
        </w:tc>
      </w:tr>
      <w:tr>
        <w:trPr/>
        <w:tc>
          <w:tcPr>
            <w:tcW w:w="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19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Аналитический</w:t>
            </w:r>
          </w:p>
        </w:tc>
        <w:tc>
          <w:tcPr>
            <w:tcW w:w="3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Поиск и анализ научных публикаций по методам ETL/ELT, моделям хранения, стратегиям инкрементальной загрузки и оптимизации запросов в базах данных Scopus, Web of Science, РИНЦ, IEEE Xplore, ACM DL, arXiv; систематизация информации; сравнительный анализ; формулировка постановки задачи исследования</w:t>
            </w:r>
          </w:p>
        </w:tc>
        <w:tc>
          <w:tcPr>
            <w:tcW w:w="8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40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03.06–05.06.2026</w:t>
            </w:r>
          </w:p>
        </w:tc>
        <w:tc>
          <w:tcPr>
            <w:tcW w:w="1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Аналитический обзор (основа главы 1 отчёта); аннотированный список источников</w:t>
            </w:r>
          </w:p>
        </w:tc>
      </w:tr>
      <w:tr>
        <w:trPr/>
        <w:tc>
          <w:tcPr>
            <w:tcW w:w="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19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Теоретический</w:t>
            </w:r>
          </w:p>
        </w:tc>
        <w:tc>
          <w:tcPr>
            <w:tcW w:w="3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Обоснование выбора подхода к оптимизации; формулировка функциональных и нефункциональных требований; разработка концептуальной и логической моделей оптимизированной синхронизации и обработки данных; формализация средствами UML/ER; анализ свойств, ограничений и областей применимости</w:t>
            </w:r>
          </w:p>
        </w:tc>
        <w:tc>
          <w:tcPr>
            <w:tcW w:w="8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48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06.06–11.06.2026</w:t>
            </w:r>
          </w:p>
        </w:tc>
        <w:tc>
          <w:tcPr>
            <w:tcW w:w="1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Теоретическая часть (основа главы 2 отчёта); UML/ER-диаграммы</w:t>
            </w:r>
          </w:p>
        </w:tc>
      </w:tr>
      <w:tr>
        <w:trPr/>
        <w:tc>
          <w:tcPr>
            <w:tcW w:w="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19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3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Оформление промежуточного отчёта о выполнении практики во 2 семестре; подготовка презентации (7–10 слайдов); представление результатов; ответы на вопросы; получение рекомендаций по работе в 3 семестре</w:t>
            </w:r>
          </w:p>
        </w:tc>
        <w:tc>
          <w:tcPr>
            <w:tcW w:w="8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12.06–13.06.2026</w:t>
            </w:r>
          </w:p>
        </w:tc>
        <w:tc>
          <w:tcPr>
            <w:tcW w:w="1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Промежуточный отчёт; презентация (7–10 слайдов); зачёт (промежуточный, с оценкой)</w:t>
            </w:r>
          </w:p>
        </w:tc>
      </w:tr>
      <w:tr>
        <w:trPr/>
        <w:tc>
          <w:tcPr>
            <w:tcW w:w="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/>
            </w:r>
          </w:p>
        </w:tc>
        <w:tc>
          <w:tcPr>
            <w:tcW w:w="19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3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Производственная практика во 2 семестре</w:t>
            </w:r>
          </w:p>
        </w:tc>
        <w:tc>
          <w:tcPr>
            <w:tcW w:w="8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02.06–13.06.2026</w:t>
            </w:r>
          </w:p>
        </w:tc>
        <w:tc>
          <w:tcPr>
            <w:tcW w:w="14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3 з.е. (108 ч)</w:t>
            </w:r>
          </w:p>
        </w:tc>
      </w:tr>
    </w:tbl>
    <w:p>
      <w:pPr>
        <w:pStyle w:val="Normal"/>
        <w:spacing w:lineRule="auto" w:line="360" w:before="0" w:after="10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13. Рекомендуемая литература и источники для выполнения НИР во 2 семестре:</w:t>
      </w:r>
    </w:p>
    <w:p>
      <w:pPr>
        <w:pStyle w:val="ListParagraph"/>
        <w:numPr>
          <w:ilvl w:val="0"/>
          <w:numId w:val="20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Кимбалл Р., Росс М. Инструментарий хранилища данных: полное руководство по размерному моделированию. – 3-е изд. – М.: Вильямс, 2016. – 656 с.</w:t>
      </w:r>
    </w:p>
    <w:p>
      <w:pPr>
        <w:pStyle w:val="ListParagraph"/>
        <w:numPr>
          <w:ilvl w:val="0"/>
          <w:numId w:val="21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Клеппман М. Высоконагруженные приложения. Проектирование, масштабирование, поддержка. – СПб.: Питер, 2018. – 640 с.</w:t>
      </w:r>
    </w:p>
    <w:p>
      <w:pPr>
        <w:pStyle w:val="ListParagraph"/>
        <w:numPr>
          <w:ilvl w:val="0"/>
          <w:numId w:val="22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Гарсиа-Молина Г., Ульман Дж., Уидом Дж. Системы баз данных. Полный курс. – 2-е изд. – М.: Вильямс, 2016. – 1088 с.</w:t>
      </w:r>
    </w:p>
    <w:p>
      <w:pPr>
        <w:pStyle w:val="ListParagraph"/>
        <w:numPr>
          <w:ilvl w:val="0"/>
          <w:numId w:val="23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Карпова И.П. Базы данных: курс лекций и материалы для практических занятий. – СПб.: Питер, 2021. – 240 с.</w:t>
      </w:r>
    </w:p>
    <w:p>
      <w:pPr>
        <w:pStyle w:val="ListParagraph"/>
        <w:numPr>
          <w:ilvl w:val="0"/>
          <w:numId w:val="24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Костенко И.П., Ступина М.В. Обеспечение требований ACID для высоконагруженных СУБД // Молодой исследователь Дона. – 2023. – Т. 8, № 3. – С. 35–39.</w:t>
      </w:r>
    </w:p>
    <w:p>
      <w:pPr>
        <w:pStyle w:val="ListParagraph"/>
        <w:numPr>
          <w:ilvl w:val="0"/>
          <w:numId w:val="25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ГОСТ Р ИСО/МЭК 9075-1–2011. Информационные технологии. Языки баз данных. SQL. Часть 1. Структура (SQL/Framework). – М.: Стандартинформ, 2013. – 32 с.</w:t>
      </w:r>
    </w:p>
    <w:p>
      <w:pPr>
        <w:pStyle w:val="ListParagraph"/>
        <w:numPr>
          <w:ilvl w:val="0"/>
          <w:numId w:val="26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ГОСТ Р 7.0.100–2018. Библиографическая запись. Библиографическое описание. Общие требования и правила составления. – М.: Стандартинформ, 2018. – 124 с.</w:t>
      </w:r>
    </w:p>
    <w:p>
      <w:pPr>
        <w:pStyle w:val="ListParagraph"/>
        <w:numPr>
          <w:ilvl w:val="0"/>
          <w:numId w:val="27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Doan A., Halevy A., Ives Z. Principles of Data Integration. – Waltham: Morgan Kaufmann, 2012. – 520 p.</w:t>
      </w:r>
    </w:p>
    <w:p>
      <w:pPr>
        <w:pStyle w:val="ListParagraph"/>
        <w:numPr>
          <w:ilvl w:val="0"/>
          <w:numId w:val="28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Зильбершатц А., Корт Г., Сударшан С. Системы баз данных. Полный курс (Database System Concepts). – 7-е изд. – New York: McGraw-Hill Education, 2020. – 1376 p.</w:t>
      </w:r>
    </w:p>
    <w:p>
      <w:pPr>
        <w:pStyle w:val="ListParagraph"/>
        <w:numPr>
          <w:ilvl w:val="0"/>
          <w:numId w:val="29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Abadi D., Boncz P., Harizopoulos S. et al. The Design and Implementation of Modern Column-Oriented Database Systems // Foundations and Trends in Databases. – 2013. – Vol. 5, No. 3. – P. 197–280. – DOI: 10.1561/1900000024.</w:t>
      </w:r>
    </w:p>
    <w:p>
      <w:pPr>
        <w:pStyle w:val="ListParagraph"/>
        <w:numPr>
          <w:ilvl w:val="0"/>
          <w:numId w:val="30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Dinesh L., Devi K.G. An efficient hybrid optimization of ETL process in data warehouse of cloud architecture // Journal of Cloud Computing. – 2024. – Vol. 13. – Art. 12. – DOI: 10.1186/s13677-023-00571-y.</w:t>
      </w:r>
    </w:p>
    <w:p>
      <w:pPr>
        <w:pStyle w:val="ListParagraph"/>
        <w:numPr>
          <w:ilvl w:val="0"/>
          <w:numId w:val="31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Melnik S., Gubarev A., Long J.J. et al. Dremel: Interactive Analysis of Web-Scale Datasets // Proc. of the VLDB Endowment. – 2010. – Vol. 3, No. 1. – P. 330–339. – DOI: 10.14778/1920841.1920886.</w:t>
      </w:r>
    </w:p>
    <w:p>
      <w:pPr>
        <w:pStyle w:val="ListParagraph"/>
        <w:numPr>
          <w:ilvl w:val="0"/>
          <w:numId w:val="32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Kukreja M. Data Engineering with Apache Spark, Delta Lake, and Lakehouse. – Birmingham: Packt Publishing, 2021. – 480 p.</w:t>
      </w:r>
    </w:p>
    <w:p>
      <w:pPr>
        <w:pStyle w:val="ListParagraph"/>
        <w:numPr>
          <w:ilvl w:val="0"/>
          <w:numId w:val="33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Eagar G. Data Engineering with AWS. – 2nd ed. – Birmingham: Packt Publishing, 2023. – 636 p.</w:t>
      </w:r>
    </w:p>
    <w:p>
      <w:pPr>
        <w:pStyle w:val="ListParagraph"/>
        <w:numPr>
          <w:ilvl w:val="0"/>
          <w:numId w:val="34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Reis J., Housley M. Fundamentals of Data Engineering. – Sebastopol: O’Reilly Media, 2022. – 447 p.</w:t>
      </w:r>
    </w:p>
    <w:p>
      <w:pPr>
        <w:pStyle w:val="ListParagraph"/>
        <w:numPr>
          <w:ilvl w:val="0"/>
          <w:numId w:val="35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Koukaras P. Data Integration and Storage Strategies in Heterogeneous Analytical Systems: Architectures, Methods, and Interoperability Challenges // Information (MDPI). – 2025. – Vol. 16, No. 11. – Art. 932. – DOI: 10.3390/info16110932.</w:t>
      </w:r>
    </w:p>
    <w:p>
      <w:pPr>
        <w:pStyle w:val="ListParagraph"/>
        <w:numPr>
          <w:ilvl w:val="0"/>
          <w:numId w:val="36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Harenslak B., de Ruiter J. Data Pipelines with Apache Airflow. – Shelter Island: Manning Publications, 2021. – 480 p.</w:t>
      </w:r>
    </w:p>
    <w:p>
      <w:pPr>
        <w:pStyle w:val="ListParagraph"/>
        <w:numPr>
          <w:ilvl w:val="0"/>
          <w:numId w:val="37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Петров А. Распределённые данные. Алгоритмы работы современных систем хранения информации. – СПб.: Питер, 2021. – 336 с. – (Серия «Бестселлеры O’Reilly»).</w:t>
      </w:r>
    </w:p>
    <w:p>
      <w:pPr>
        <w:pStyle w:val="ListParagraph"/>
        <w:numPr>
          <w:ilvl w:val="0"/>
          <w:numId w:val="38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Макшанов А.В., Журавлев А.Е., Тындыкарь Л.Н. Большие данные. Big Data: учебник. – 3-е изд., стер. – СПб.: Лань, 2023. – 188 с.</w:t>
      </w:r>
    </w:p>
    <w:p>
      <w:pPr>
        <w:pStyle w:val="ListParagraph"/>
        <w:numPr>
          <w:ilvl w:val="0"/>
          <w:numId w:val="39"/>
        </w:numPr>
        <w:spacing w:lineRule="auto" w:line="360" w:before="0" w:after="100"/>
        <w:jc w:val="both"/>
        <w:rPr/>
      </w:pPr>
      <w:r>
        <w:rPr>
          <w:rFonts w:eastAsia="Times New Roman" w:cs="Times New Roman"/>
          <w:sz w:val="28"/>
          <w:szCs w:val="28"/>
        </w:rPr>
        <w:t>Базы данных научных публикаций: Scopus (www.scopus.com), Web of Science (www.webofscience.com), РИНЦ (elibrary.ru), IEEE Xplore (ieeexplore.ieee.org), ACM Digital Library (dl.acm.org), arXiv (arxiv.org).</w:t>
      </w:r>
      <w:r>
        <w:br w:type="page"/>
      </w:r>
    </w:p>
    <w:p>
      <w:pPr>
        <w:pStyle w:val="Normal"/>
        <w:spacing w:lineRule="auto" w:line="360" w:before="0" w:after="160"/>
        <w:rPr/>
      </w:pPr>
      <w:r>
        <w:rPr>
          <w:rFonts w:eastAsia="Times New Roman" w:cs="Times New Roman"/>
          <w:sz w:val="28"/>
          <w:szCs w:val="28"/>
        </w:rPr>
        <w:t>Дата выдачи задания: «02» июня 2026 г.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260"/>
        <w:gridCol w:w="4099"/>
      </w:tblGrid>
      <w:tr>
        <w:trPr/>
        <w:tc>
          <w:tcPr>
            <w:tcW w:w="5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Научный руководитель практики: </w:t>
            </w:r>
            <w:r>
              <w:rPr>
                <w:rFonts w:eastAsia="Times New Roman" w:cs="Times New Roman"/>
                <w:i/>
                <w:iCs/>
                <w:sz w:val="28"/>
                <w:szCs w:val="28"/>
              </w:rPr>
              <w:t>д.т.н., профессор, профессор кафедры программной инженерии и ИТ</w:t>
            </w:r>
          </w:p>
        </w:tc>
        <w:tc>
          <w:tcPr>
            <w:tcW w:w="4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/ Гришин И.Ю. /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(подпись)        (расшифровка подписи)</w:t>
            </w:r>
          </w:p>
        </w:tc>
      </w:tr>
      <w:tr>
        <w:trPr/>
        <w:tc>
          <w:tcPr>
            <w:tcW w:w="5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 xml:space="preserve">Задание принял к исполнению: </w:t>
            </w:r>
            <w:r>
              <w:rPr>
                <w:rFonts w:eastAsia="Times New Roman" w:cs="Times New Roman"/>
                <w:i/>
                <w:iCs/>
                <w:sz w:val="28"/>
                <w:szCs w:val="28"/>
              </w:rPr>
              <w:t>обучающийся</w:t>
            </w:r>
          </w:p>
        </w:tc>
        <w:tc>
          <w:tcPr>
            <w:tcW w:w="4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/ Деменков И.М. /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(подпись)        (расшифровка подписи)</w:t>
            </w:r>
          </w:p>
        </w:tc>
      </w:tr>
    </w:tbl>
    <w:p>
      <w:pPr>
        <w:pStyle w:val="Normal"/>
        <w:spacing w:lineRule="auto" w:line="360" w:before="160" w:after="0"/>
        <w:rPr/>
      </w:pPr>
      <w:r>
        <w:rPr>
          <w:rFonts w:eastAsia="Times New Roman" w:cs="Times New Roman"/>
          <w:sz w:val="28"/>
          <w:szCs w:val="28"/>
        </w:rPr>
        <w:t>«02» июня 2026 г.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5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5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5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5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5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5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5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0"/>
        </w:tabs>
        <w:ind w:left="5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)"/>
      <w:lvlJc w:val="left"/>
      <w:pPr>
        <w:tabs>
          <w:tab w:val="num" w:pos="0"/>
        </w:tabs>
        <w:ind w:left="5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)"/>
      <w:lvlJc w:val="left"/>
      <w:pPr>
        <w:tabs>
          <w:tab w:val="num" w:pos="0"/>
        </w:tabs>
        <w:ind w:left="5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2"/>
    <w:lvlOverride w:ilvl="0">
      <w:startOverride w:val="1"/>
    </w:lvlOverride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10"/>
    <w:lvlOverride w:ilvl="0">
      <w:startOverride w:val="1"/>
    </w:lvlOverride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LibreOffice/24.2.7.2$Linux_X86_64 LibreOffice_project/420$Build-2</Application>
  <AppVersion>15.0000</AppVersion>
  <Pages>10</Pages>
  <Words>1546</Words>
  <Characters>10948</Characters>
  <CharactersWithSpaces>12404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2026-06-03T08:07:15Z</dcterms:created>
  <dc:creator>Un-named</dc:creator>
  <dc:description/>
  <dc:language>en-US</dc:language>
  <cp:lastModifiedBy/>
  <dcterms:modified xsi:type="dcterms:W3CDTF">2026-06-04T10:47:34Z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