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sz w:val="24"/>
          <w:szCs w:val="24"/>
        </w:rPr>
        <w:t>Министерство просвещения Российской Федерации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sz w:val="24"/>
          <w:szCs w:val="24"/>
        </w:rPr>
        <w:t>высшего образования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sz w:val="24"/>
          <w:szCs w:val="24"/>
        </w:rPr>
        <w:t>«Херсонский государственный педагогический университет»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sz w:val="24"/>
          <w:szCs w:val="24"/>
        </w:rPr>
        <w:t>Институт информационных технологий</w:t>
      </w:r>
    </w:p>
    <w:p>
      <w:pPr>
        <w:pStyle w:val="Normal"/>
        <w:spacing w:lineRule="auto" w:line="360" w:before="0" w:after="480"/>
        <w:jc w:val="center"/>
        <w:rPr/>
      </w:pPr>
      <w:r>
        <w:rPr>
          <w:rFonts w:eastAsia="Times New Roman" w:cs="Times New Roman"/>
          <w:sz w:val="24"/>
          <w:szCs w:val="24"/>
        </w:rPr>
        <w:t>Кафедра программной инженерии и информационных технологий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ОТЧЁТ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о прохождении производственной практики</w:t>
      </w:r>
    </w:p>
    <w:p>
      <w:pPr>
        <w:pStyle w:val="Normal"/>
        <w:spacing w:lineRule="auto" w:line="360" w:before="0" w:after="3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(научно-исследовательская работа), 2 семестр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sz w:val="28"/>
          <w:szCs w:val="28"/>
        </w:rPr>
        <w:t>на тему: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«Методы оптимизации хранения и обработки данных при синхронизации</w:t>
      </w:r>
    </w:p>
    <w:p>
      <w:pPr>
        <w:pStyle w:val="Normal"/>
        <w:spacing w:lineRule="auto" w:line="360" w:before="0" w:after="6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разнородных источников с аналитическим хранилищем»</w:t>
      </w:r>
    </w:p>
    <w:p>
      <w:pPr>
        <w:pStyle w:val="Normal"/>
        <w:spacing w:lineRule="auto" w:line="360" w:before="0" w:after="0"/>
        <w:jc w:val="right"/>
        <w:rPr/>
      </w:pPr>
      <w:r>
        <w:rPr>
          <w:rFonts w:eastAsia="Times New Roman" w:cs="Times New Roman"/>
          <w:sz w:val="28"/>
          <w:szCs w:val="28"/>
        </w:rPr>
        <w:t>Выполнил обучающийся:</w:t>
      </w:r>
    </w:p>
    <w:p>
      <w:pPr>
        <w:pStyle w:val="Normal"/>
        <w:spacing w:lineRule="auto" w:line="360" w:before="0" w:after="0"/>
        <w:jc w:val="right"/>
        <w:rPr/>
      </w:pPr>
      <w:r>
        <w:rPr>
          <w:rFonts w:eastAsia="Times New Roman" w:cs="Times New Roman"/>
          <w:sz w:val="28"/>
          <w:szCs w:val="28"/>
        </w:rPr>
        <w:t>Деменков И.М., группа 12-25 РПмз</w:t>
      </w:r>
    </w:p>
    <w:p>
      <w:pPr>
        <w:pStyle w:val="Normal"/>
        <w:spacing w:lineRule="auto" w:line="360" w:before="0" w:after="120"/>
        <w:jc w:val="right"/>
        <w:rPr/>
      </w:pPr>
      <w:r>
        <w:rPr>
          <w:rFonts w:eastAsia="Times New Roman" w:cs="Times New Roman"/>
          <w:sz w:val="28"/>
          <w:szCs w:val="28"/>
        </w:rPr>
        <w:t>направление 09.04.04 «Программная инженерия»</w:t>
      </w:r>
    </w:p>
    <w:p>
      <w:pPr>
        <w:pStyle w:val="Normal"/>
        <w:spacing w:lineRule="auto" w:line="360" w:before="0" w:after="0"/>
        <w:jc w:val="right"/>
        <w:rPr/>
      </w:pPr>
      <w:r>
        <w:rPr>
          <w:rFonts w:eastAsia="Times New Roman" w:cs="Times New Roman"/>
          <w:sz w:val="28"/>
          <w:szCs w:val="28"/>
        </w:rPr>
        <w:t>Научный руководитель практики:</w:t>
      </w:r>
    </w:p>
    <w:p>
      <w:pPr>
        <w:pStyle w:val="Normal"/>
        <w:spacing w:lineRule="auto" w:line="360" w:before="0" w:after="0"/>
        <w:jc w:val="right"/>
        <w:rPr/>
      </w:pPr>
      <w:r>
        <w:rPr>
          <w:rFonts w:eastAsia="Times New Roman" w:cs="Times New Roman"/>
          <w:sz w:val="28"/>
          <w:szCs w:val="28"/>
        </w:rPr>
        <w:t>д.т.н., профессор Гришин И.Ю.</w:t>
      </w:r>
    </w:p>
    <w:p>
      <w:pPr>
        <w:pStyle w:val="Normal"/>
        <w:spacing w:lineRule="auto" w:line="360" w:before="0" w:after="600"/>
        <w:jc w:val="right"/>
        <w:rPr/>
      </w:pPr>
      <w:r>
        <w:rPr>
          <w:rFonts w:eastAsia="Times New Roman" w:cs="Times New Roman"/>
          <w:sz w:val="28"/>
          <w:szCs w:val="28"/>
        </w:rPr>
        <w:t>Оценка: __________________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sz w:val="28"/>
          <w:szCs w:val="28"/>
        </w:rPr>
        <w:t>Херсон, 2026</w:t>
      </w:r>
      <w:r>
        <w:br w:type="page"/>
      </w:r>
    </w:p>
    <w:p>
      <w:pPr>
        <w:pStyle w:val="Normal"/>
        <w:spacing w:lineRule="auto" w:line="360" w:before="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СОДЕРЖАНИЕ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rPr/>
      </w:pPr>
      <w:r>
        <w:rPr>
          <w:rFonts w:eastAsia="Times New Roman" w:cs="Times New Roman"/>
          <w:b/>
          <w:bCs/>
          <w:sz w:val="28"/>
          <w:szCs w:val="28"/>
        </w:rPr>
        <w:t>ВВЕДЕНИЕ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/>
          <w:bCs/>
          <w:sz w:val="28"/>
          <w:szCs w:val="28"/>
        </w:rPr>
        <w:t>3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rPr/>
      </w:pPr>
      <w:r>
        <w:rPr>
          <w:rFonts w:eastAsia="Times New Roman" w:cs="Times New Roman"/>
          <w:b/>
          <w:bCs/>
          <w:sz w:val="28"/>
          <w:szCs w:val="28"/>
        </w:rPr>
        <w:t>1 Аналитический обзор подходов к синхронизации разнородных источников с аналитическим хранилищем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/>
          <w:bCs/>
          <w:sz w:val="28"/>
          <w:szCs w:val="28"/>
        </w:rPr>
        <w:t>5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1.1 Синхронизация транзакционных источников с аналитическим хранилищем: понятия и задачи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5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1.2 Стратегии загрузки данных в аналитическое хранилище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6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1.3 Ключевые проблемы инкрементальной синхронизации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7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1.4 Сравнительный анализ существующих решений и выявленные ограничения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9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1.5 Постановка задачи исследования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10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rPr/>
      </w:pPr>
      <w:r>
        <w:rPr>
          <w:rFonts w:eastAsia="Times New Roman" w:cs="Times New Roman"/>
          <w:b/>
          <w:bCs/>
          <w:sz w:val="28"/>
          <w:szCs w:val="28"/>
        </w:rPr>
        <w:t>2 Обоснование подхода и модели оптимизированной синхронизации данных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/>
          <w:bCs/>
          <w:sz w:val="28"/>
          <w:szCs w:val="28"/>
        </w:rPr>
        <w:t>12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2.1 Обоснование выбора подхода к оптимизации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12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2.2 Функциональные и нефункциональные требования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15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2.3 Концептуальная и логическая модели оптимизированной синхронизации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16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ind w:left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2.4 Анализ свойств, ограничений и областей применимости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sz w:val="28"/>
          <w:szCs w:val="28"/>
        </w:rPr>
        <w:t>18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rPr/>
      </w:pPr>
      <w:r>
        <w:rPr>
          <w:rFonts w:eastAsia="Times New Roman" w:cs="Times New Roman"/>
          <w:b/>
          <w:bCs/>
          <w:sz w:val="28"/>
          <w:szCs w:val="28"/>
        </w:rPr>
        <w:t>ЗАКЛЮЧЕНИЕ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/>
          <w:bCs/>
          <w:sz w:val="28"/>
          <w:szCs w:val="28"/>
        </w:rPr>
        <w:t>20</w:t>
      </w:r>
    </w:p>
    <w:p>
      <w:pPr>
        <w:pStyle w:val="Normal"/>
        <w:tabs>
          <w:tab w:val="clear" w:pos="720"/>
          <w:tab w:val="right" w:pos="9300" w:leader="dot"/>
        </w:tabs>
        <w:spacing w:lineRule="auto" w:line="360" w:before="0" w:after="60"/>
        <w:rPr/>
      </w:pPr>
      <w:r>
        <w:rPr>
          <w:rFonts w:eastAsia="Times New Roman" w:cs="Times New Roman"/>
          <w:b/>
          <w:bCs/>
          <w:sz w:val="28"/>
          <w:szCs w:val="28"/>
        </w:rPr>
        <w:t>СПИСОК ИСПОЛЬЗОВАННЫХ ИСТОЧНИКОВ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/>
          <w:bCs/>
          <w:sz w:val="28"/>
          <w:szCs w:val="28"/>
        </w:rPr>
        <w:t>21</w:t>
      </w:r>
      <w:r>
        <w:br w:type="page"/>
      </w:r>
    </w:p>
    <w:p>
      <w:pPr>
        <w:pStyle w:val="Heading1"/>
        <w:spacing w:lineRule="auto" w:line="360" w:before="0" w:after="16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Современные информационные системы всё чаще строятся на основе разнородных источников данных, объединяющих реляционные и документоориентированные системы управления базами данных (СУБД). Для аналитической обработки накопленные данные регулярно переносятся из транзакционных источников в специализированное аналитическое хранилище. Качество такого переноса — его полнота, согласованность и непрерывность доступности данных — напрямую определяет достоверность аналитической отчётности, поэтому задача оптимизации хранения и обработки данных при синхронизации разнородных источников с аналитическим хранилищем является актуальной.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Актуальность темы обусловлена тем, что широко распространённые механизмы инкрементальной синхронизации, основанные на удалении части данных и последующей вставке обновления (DELETE + INSERT), порождают два класса дефектов: окно недоступности данных в момент перезаписи и пропуск строк при инкременте по числовому ключу вследствие неупорядоченности фиксации (commit) транзакций в источнике. Эти дефекты снижают достоверность аналитики и усложняют сопровождение системы.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Объект исследования — процессы хранения и обработки данных в системах синхронизации разнородных источников (реляционных и документоориентированных СУБД) с аналитическим хранилищем.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Предмет исследования — модели, методы и средства оптимизации хранения и обработки данных, обеспечивающие повышение надёжности и непрерывности синхронизации данных с аналитическим хранилищем.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Цель работы во 2 семестре — провести аналитический обзор подходов к синхронизации разнородных источников с аналитическим хранилищем, обосновать выбор подхода к оптимизации и разработать концептуальную и логическую модели оптимизированной синхронизации и обработки данных.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достижения цели поставлены следующие задачи: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изучить понятия и задачи синхронизации транзакционных источников с аналитическим хранилищем;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выполнить сравнительный анализ стратегий загрузки данных и выявить ограничения существующих подходов;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сформулировать обоснованную постановку научной задачи исследования;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обосновать выбор подхода к оптимизации хранения и обработки данных;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сформулировать функциональные и нефункциональные требования к разрабатываемым методу и моделям;</w:t>
      </w:r>
    </w:p>
    <w:p>
      <w:pPr>
        <w:pStyle w:val="ListParagraph"/>
        <w:numPr>
          <w:ilvl w:val="0"/>
          <w:numId w:val="15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разработать и формализовать средствами UML/ER концептуальную и логическую модели оптимизированной синхронизации;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проанализировать свойства, ограничения и области применимости метода и обосновать его преимущества перед известными аналогами.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Методы исследования: системный анализ, сравнительный анализ методов хранения и обработки данных, методы проектирования структур данных, объектно-ориентированное и инфологическое моделирование (UML, ER).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Практическая значимость работы состоит в том, что предложенные метод и модели ориентированы на применение в инструментах синхронизации данных предприятия и направлены на устранение наблюдавшихся в эксплуатации дефектов переноса данных в аналитическое хранилище Google BigQuery — окна недоступности и пропуска строк.</w:t>
      </w:r>
      <w:r>
        <w:br w:type="page"/>
      </w:r>
    </w:p>
    <w:p>
      <w:pPr>
        <w:pStyle w:val="Heading1"/>
        <w:spacing w:lineRule="auto" w:line="360" w:before="0" w:after="16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1 АНАЛИТИЧЕСКИЙ ОБЗОР ПОДХОДОВ К СИНХРОНИЗАЦИИ РАЗНОРОДНЫХ ИСТОЧНИКОВ С АНАЛИТИЧЕСКИМ ХРАНИЛИЩЕМ</w:t>
      </w:r>
    </w:p>
    <w:p>
      <w:pPr>
        <w:pStyle w:val="Heading2"/>
        <w:spacing w:lineRule="auto" w:line="360" w:before="20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1.1 Синхронизация транзакционных источников с аналитическим хранилищем: понятия и задачи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Под синхронизацией данных понимается процесс регулярного переноса изменений из источников данных в целевое хранилище с сохранением их согласованности. Источники относятся к классу транзакционных систем (OLTP), оптимизированных для частых операций изменения отдельных записей, тогда как целевое аналитическое хранилище относится к классу систем аналитической обработки (OLAP), оптимизированных для выполнения сложных агрегирующих запросов по большим объёмам данных [1, 9].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Разнородность источников проявляется на уровне модели данных: реляционная СУБД MySQL хранит строго типизированные структуры с фиксированной схемой, тогда как документоориентированная СУБД MongoDB оперирует документами со свободной схемой. Это создаёт дополнительные требования к этапу преобразования данных при их приведении к единой схеме аналитического хранилища [8, 16].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Целевым хранилищем в рассматриваемой системе является облачная аналитическая СУБД Google BigQuery, использующая колоночное хранение и массово-параллельную обработку запросов [10, 12]. Ключевая особенность таких хранилищ — ориентация на пакетную загрузку и операции над крупными блоками данных, а не на точечные изменения отдельных строк, что необходимо учитывать при проектировании механизма синхронизации.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Колоночное хранение обеспечивает эффективное выполнение аналитических запросов за счёт чтения только запрашиваемых столбцов и высокой степени сжатия однотипных значений, однако делает дорогими частые точечные изменения строк [10, 18]. Дополнительно производительность и стоимость запросов в таких хранилищах существенно зависят от партиционирования и кластеризации таблиц: ограничение операции диапазоном партиций позволяет исключить из обработки незатронутые данные. Эти свойства предопределяют выбор стратегий синхронизации, выполняющих обновление крупными блоками и сохраняющих партиционирование целевой таблицы.</w:t>
      </w:r>
    </w:p>
    <w:p>
      <w:pPr>
        <w:pStyle w:val="Heading2"/>
        <w:spacing w:lineRule="auto" w:line="360" w:before="20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1.2 Стратегии загрузки данных в аналитическое хранилище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литературе и инженерной практике выделяют несколько базовых стратегий загрузки данных [1, 11, 15]: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полная перезагрузка (full reload) — целевая таблица полностью перезаписывается при каждом цикле; проста в реализации, но неприменима к большим объёмам данных из-за высокой стоимости и длительности;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инкрементальная загрузка по схеме DELETE + INSERT — из целевой таблицы удаляется некоторый «хвост» (как правило, за последние несколько часов), после чего загружается свежая порция данных; снижает объём передачи, но порождает окно недоступности;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инкрементальная загрузка через слияние (MERGE / UPSERT) — новые и изменённые строки объединяются с целевой таблицей одной операцией, выполняющей вставку отсутствующих и обновление существующих записей по ключу;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захват изменений данных (Change Data Capture, CDC) — изменения считываются из журнала транзакций источника; обеспечивает наименьшую задержку, но требует доступа к журналу и усложняет инфраструктуру [2, 18].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Выбор стратегии определяется компромиссом между задержкой данных, нагрузкой на источник, сложностью сопровождения и требованиями к согласованности. Для аналитических хранилищ, ориентированных на пакетные операции, предпочтительны стратегии, использующие слияние крупных блоков данных вместо точечных изменений.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Отдельный аспект — формат промежуточной выгрузки данных при их загрузке в хранилище. Следует различать внутренний формат хранения данных в аналитическом хранилище (для облачных колоночных СУБД он собственный и не зависит от способа загрузки) и формат файла-посредника, через который данные передаются. В качестве такого формата применяются как текстовые (CSV, JSON), так и бинарные форматы (Avro — строковый со встроенной схемой; Parquet и ORC — колоночные) [11, 13, 15].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Бинарные форматы строго типизированы, хорошо сжимаются и читаются параллельно, что на больших объёмах ускоряет загрузку и точно сохраняет типы, а также поддерживают вложенные структуры. Их недостатки — необходимость определения и согласования схемы данных при каждой выгрузке и большие вычислительные затраты на кодирование и обработку файла. Текстовый CSV проще в формировании и отладке, не требует кодирования по схеме, но слабее типизирован, объёмнее и не поддерживает вложенные структуры. Выбор формата выгрузки определяется компромиссом между простотой и сопровождаемостью, с одной стороны, и производительностью и типобезопасностью — с другой.</w:t>
      </w:r>
    </w:p>
    <w:p>
      <w:pPr>
        <w:pStyle w:val="Heading2"/>
        <w:spacing w:lineRule="auto" w:line="360" w:before="20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1.3 Ключевые проблемы инкрементальной синхронизации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Анализ источников и практики эксплуатации позволяет выделить три взаимосвязанные проблемы инкрементальной синхронизации, критичные для достоверности аналитики.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Согласованность чтений. </w:t>
      </w:r>
      <w:r>
        <w:rPr>
          <w:rFonts w:eastAsia="Times New Roman" w:cs="Times New Roman"/>
          <w:sz w:val="28"/>
          <w:szCs w:val="28"/>
        </w:rPr>
        <w:t>Аналитические запросы должны видеть данные в согласованном состоянии. Если механизм синхронизации временно оставляет таблицу в неполном состоянии, результаты запросов оказываются недостоверными, что соответствует нарушению свойств согласованности и изоляции из набора требований ACID [5].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Окно недоступности данных. </w:t>
      </w:r>
      <w:r>
        <w:rPr>
          <w:rFonts w:eastAsia="Times New Roman" w:cs="Times New Roman"/>
          <w:sz w:val="28"/>
          <w:szCs w:val="28"/>
        </w:rPr>
        <w:t>При схеме DELETE + INSERT между удалением «хвоста» и вставкой обновления существует интервал, в течение которого часть данных физически отсутствует в таблице. Запросы, выполненные в этот момент, возвращают неполный результат. Схема действующего механизма и связанные с ним дефекты приведены на рисунке 1.1.</w:t>
      </w:r>
    </w:p>
    <w:p>
      <w:pPr>
        <w:pStyle w:val="Normal"/>
        <w:spacing w:lineRule="auto" w:line="360" w:before="120" w:after="20"/>
        <w:jc w:val="center"/>
        <w:rPr/>
      </w:pPr>
      <w:r>
        <w:rPr/>
        <w:drawing>
          <wp:inline distT="0" distB="0" distL="0" distR="0">
            <wp:extent cx="5715000" cy="22288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Рисунок 1.1 — Действующий механизм на основе DELETE + INSERT и его дефекты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 практике окно недоступности проявляется как нестабильность данных: одни и те же строки «то есть, то нет», что существенно усложняет сопровождение и подрывает доверие к аналитической отчётности.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Пропуск строк при инкременте по ключу. </w:t>
      </w:r>
      <w:r>
        <w:rPr>
          <w:rFonts w:eastAsia="Times New Roman" w:cs="Times New Roman"/>
          <w:sz w:val="28"/>
          <w:szCs w:val="28"/>
        </w:rPr>
        <w:t>При отслеживании изменений по монотонно возрастающему числовому идентификатору (ID) курсор синхронизации запоминает максимальное обработанное значение. Однако порядок фиксации (commit) транзакций в источнике не обязан совпадать с порядком возрастания ID: транзакция, вставляющая строку с большим ID, может зафиксироваться раньше транзакции с меньшим ID. В результате курсор «перешагивает» ещё не зафиксированную строку, и она не попадает в хранилище. Механизм возникновения пропуска показан на рисунке 1.2.</w:t>
      </w:r>
    </w:p>
    <w:p>
      <w:pPr>
        <w:pStyle w:val="Normal"/>
        <w:spacing w:lineRule="auto" w:line="360" w:before="120" w:after="20"/>
        <w:jc w:val="center"/>
        <w:rPr/>
      </w:pPr>
      <w:r>
        <w:rPr/>
        <w:drawing>
          <wp:inline distT="0" distB="0" distL="0" distR="0">
            <wp:extent cx="5715000" cy="24479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Рисунок 1.2 — Пропуск строки при инкременте по ID из-за порядка фиксации транзакций</w:t>
      </w:r>
    </w:p>
    <w:p>
      <w:pPr>
        <w:pStyle w:val="Heading2"/>
        <w:spacing w:lineRule="auto" w:line="360" w:before="20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1.4 Сравнительный анализ существующих решений и выявленные ограничения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Сравнение базовых стратегий по ключевым критериям приведено в таблице 1.1.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1749"/>
        <w:gridCol w:w="1750"/>
        <w:gridCol w:w="32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Стратегия</w:t>
            </w:r>
          </w:p>
        </w:tc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Окно недоступ-ности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Риск пропуска строк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Примечание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Полная перезагрузка</w:t>
            </w:r>
          </w:p>
        </w:tc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Есть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Высокая стоимость, неприменима к большим объёмам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DELETE + INSERT</w:t>
            </w:r>
          </w:p>
        </w:tc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Есть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Есть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Действующий механизм; нестабильность данных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Слияние во временную таблицу</w:t>
            </w:r>
          </w:p>
        </w:tc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Снижен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Атомарное слияние крупных блоков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CDC (журнал транзакций)</w:t>
            </w:r>
          </w:p>
        </w:tc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Минимальная задержка, сложная инфраструктура</w:t>
            </w:r>
          </w:p>
        </w:tc>
      </w:tr>
    </w:tbl>
    <w:p>
      <w:pPr>
        <w:pStyle w:val="Normal"/>
        <w:spacing w:lineRule="auto" w:line="360" w:before="60" w:after="16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Таблица 1.1 — Сравнение стратегий загрузки данных в аналитическое хранилище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Проведённый обзор позволяет выделить следующие ограничения существующих подходов применительно к синхронизации разнородных источников: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схема DELETE + INSERT не обеспечивает непрерывной доступности данных и потому непригодна для хранилищ с активной аналитической нагрузкой;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инкремент по числовому ключу без дополнительных мер не гарантирует полноты данных при неупорядоченной фиксации транзакций;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стратегии CDC требуют доступа к журналу транзакций и усложняют инфраструктуру, что не всегда приемлемо для разнородных источников.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Выявленные ограничения определяют направление преодоления: переход к подготовке данных во временной таблице и обновлению целевой таблицы крупными блоками (атомарная замена и слияние) с перечитыванием перекрывающегося трейлингового окна вместо опоры на максимальный идентификатор. Обоснованию и формализации такого подхода посвящена глава 2.</w:t>
      </w:r>
    </w:p>
    <w:p>
      <w:pPr>
        <w:pStyle w:val="Heading2"/>
        <w:spacing w:lineRule="auto" w:line="360" w:before="20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1.5 Постановка задачи исследования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 основании выявленных ограничений формулируется научная задача: разработать метод инкрементальной синхронизации данных из разнородных источников (MySQL, MongoDB) в аналитическое хранилище Google BigQuery и его модели, обеспечивающие устранение окна недоступности и пропуска строк при сохранении приемлемых издержек обработки.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Метод должен удовлетворять следующим условиям: </w:t>
      </w:r>
    </w:p>
    <w:p>
      <w:pPr>
        <w:pStyle w:val="ListParagraph"/>
        <w:numPr>
          <w:ilvl w:val="0"/>
          <w:numId w:val="24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непрерывная доступность данных целевой таблицы — отсутствие наблюдаемого окна недоступности;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полнота данных при неупорядоченной фиксации транзакций в источнике — отсутствие пропуска строк;</w:t>
      </w:r>
    </w:p>
    <w:p>
      <w:pPr>
        <w:pStyle w:val="ListParagraph"/>
        <w:numPr>
          <w:ilvl w:val="0"/>
          <w:numId w:val="26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идемпотентность цикла синхронизации — инвариантность результата относительно повторного выполнения;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согласованность и атомарность обновления целевой таблицы;</w:t>
      </w:r>
    </w:p>
    <w:p>
      <w:pPr>
        <w:pStyle w:val="ListParagraph"/>
        <w:numPr>
          <w:ilvl w:val="0"/>
          <w:numId w:val="28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сохранение схемы и партиционирования целевой таблицы и приемлемая стоимость обработки в колоночном хранилище.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Выводы по главе 1. </w:t>
      </w:r>
      <w:r>
        <w:rPr>
          <w:rFonts w:eastAsia="Times New Roman" w:cs="Times New Roman"/>
          <w:sz w:val="28"/>
          <w:szCs w:val="28"/>
        </w:rPr>
        <w:t>Рассмотрены понятия и задачи синхронизации разнородных источников с аналитическим хранилищем, выполнен сравнительный анализ стратегий загрузки и выделены три ключевые проблемы — согласованность чтений, окно недоступности и пропуск строк. Сформулированы ограничения существующих подходов и поставлена научная задача исследования, решению которой посвящена глава 2.</w:t>
      </w:r>
      <w:r>
        <w:br w:type="page"/>
      </w:r>
    </w:p>
    <w:p>
      <w:pPr>
        <w:pStyle w:val="Heading1"/>
        <w:spacing w:lineRule="auto" w:line="360" w:before="0" w:after="16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2 ОБОСНОВАНИЕ ПОДХОДА И МОДЕЛИ ОПТИМИЗИРОВАННОЙ СИНХРОНИЗАЦИИ ДАННЫХ</w:t>
      </w:r>
    </w:p>
    <w:p>
      <w:pPr>
        <w:pStyle w:val="Heading2"/>
        <w:spacing w:lineRule="auto" w:line="360" w:before="20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2.1 Обоснование выбора подхода к оптимизации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Выбор подхода к оптимизации опирается на сопоставление моделей данных и схем хранения, стратегий инкрементальной загрузки и методов оптимизации запросов с учётом особенностей источников и целевого хранилища.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Модели данных и схемы хранения. </w:t>
      </w:r>
      <w:r>
        <w:rPr>
          <w:rFonts w:eastAsia="Times New Roman" w:cs="Times New Roman"/>
          <w:sz w:val="28"/>
          <w:szCs w:val="28"/>
        </w:rPr>
        <w:t>Источники используют строчное хранение (реляционная MySQL — со строгой схемой, документоориентированная MongoDB — со свободной схемой), оптимизированное под точечные операции. Целевое хранилище использует колоночное хранение, эффективное для аналитических запросов, но дорогое при частых точечных изменениях. Это предопределяет перенос данных крупными блоками и приведение разнородных структур источников к единой схеме целевой таблицы.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Стратегии инкрементальной загрузки. </w:t>
      </w:r>
      <w:r>
        <w:rPr>
          <w:rFonts w:eastAsia="Times New Roman" w:cs="Times New Roman"/>
          <w:sz w:val="28"/>
          <w:szCs w:val="28"/>
        </w:rPr>
        <w:t>Из рассмотренных в главе 1 стратегий (см. таблицу 1.1) полная перезагрузка отвергнута из-за неприемлемой стоимости, схема DELETE + INSERT — из-за окна недоступности, чистый CDC — из-за требования доступа к журналу транзакций и усложнения инфраструктуры для разнородных источников. Выбрана комбинация: подготовка данных в промежуточной (staging) таблице, создаваемой клонированием целевой; атомарная замена трейлингового окна для штатной синхронизации и слияние без удаления для повторной синхронизации; перечитывание перекрывающегося трейлингового окна для компенсации неупорядоченной фиксации транзакций. Обобщённая схема подхода приведена на рисунке 2.1.</w:t>
      </w:r>
    </w:p>
    <w:p>
      <w:pPr>
        <w:pStyle w:val="Normal"/>
        <w:spacing w:lineRule="auto" w:line="360" w:before="120" w:after="20"/>
        <w:jc w:val="center"/>
        <w:rPr/>
      </w:pPr>
      <w:r>
        <w:rPr/>
        <w:drawing>
          <wp:inline distT="0" distB="0" distL="0" distR="0">
            <wp:extent cx="5715000" cy="22574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Рисунок 2.1 — Обобщённая схема предлагаемого подхода к синхронизации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Методы оптимизации хранения и запросов. </w:t>
      </w:r>
      <w:r>
        <w:rPr>
          <w:rFonts w:eastAsia="Times New Roman" w:cs="Times New Roman"/>
          <w:sz w:val="28"/>
          <w:szCs w:val="28"/>
        </w:rPr>
        <w:t>Целевые таблицы партиционируются по дню (по временной метке created_at) и кластеризуются по домену клиента, поскольку каждому клиенту соответствует свой домен. Партиционирование по дню позволяет ограничивать операции обновления и аналитические запросы диапазоном партиций (исключая незатронутые дни), а кластеризация по домену ускоряет выборки данных конкретного клиента. Эти решения снижают объём сканируемых данных и стоимость запросов в колоночном хранилище.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Применимость материализованных представлений. </w:t>
      </w:r>
      <w:r>
        <w:rPr>
          <w:rFonts w:eastAsia="Times New Roman" w:cs="Times New Roman"/>
          <w:sz w:val="28"/>
          <w:szCs w:val="28"/>
        </w:rPr>
        <w:t>Ранее каждому клиенту соответствовал отдельный датасет, в который данные копировались дополнительно к общему (global): данные сначала загружались в общий датасет, а затем копировались для каждого из n клиентов, что давало n + 1 копий одних и тех же данных. Такое дублирование увеличивало время загрузки и периодически приводило к рассинхронизации копий при сбоях хранилища. В предлагаемом подходе данные загружаются только в общий датасет, а доступ клиентов организован через материализованные представления (MV) в их датасетах, читающие данные из общего. Сопоставление подходов приведено на рисунке 2.2.</w:t>
      </w:r>
    </w:p>
    <w:p>
      <w:pPr>
        <w:pStyle w:val="Normal"/>
        <w:spacing w:lineRule="auto" w:line="360" w:before="120" w:after="20"/>
        <w:jc w:val="center"/>
        <w:rPr/>
      </w:pPr>
      <w:r>
        <w:rPr/>
        <w:drawing>
          <wp:inline distT="0" distB="0" distL="0" distR="0">
            <wp:extent cx="5715000" cy="31527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Рисунок 2.2 — Переход от копирования данных по датасетам клиентов к материализованным представлениям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Применение материализованных представлений устраняет дублирование данных (вместо n + 1 копий хранится одна), существенно ускоряет загрузку и гарантирует согласованность: клиенты всегда видят одни и те же данные общего датасета, тогда как ранее копии могли рассинхронизироваться. Таким образом, выбранный подход согласует требования непрерывной доступности, полноты, сохранности и согласованности данных с приемлемой стоимостью обработки в колоночном хранилище.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Формат промежуточной выгрузки. </w:t>
      </w:r>
      <w:r>
        <w:rPr>
          <w:rFonts w:eastAsia="Times New Roman" w:cs="Times New Roman"/>
          <w:sz w:val="28"/>
          <w:szCs w:val="28"/>
        </w:rPr>
        <w:t>В качестве формата файла-посредника выбран текстовый формат CSV. Основанием служит приоритет простоты и сопровождаемости: CSV легко формируется из результатов запросов к источникам, удобен для отладки (содержимое читается человеком без специальных инструментов) и не требует поддержания схемы. Бинарные форматы (Avro, Parquet, ORC), несмотря на лучшие показатели сжатия и типизации, требуют определения и согласования схемы данных при каждой выгрузке, а также бо́льших вычислительных ресурсов на кодирование и обработку файла, что усложняет сопровождение и отладку. Для объёмов инкремента в расчёте на таблицу производительность CSV признана достаточной, поэтому компромисс сделан в пользу простоты; переход к бинарным форматам рассматривается как возможное направление дальнейшей оптимизации при росте объёмов.</w:t>
      </w:r>
    </w:p>
    <w:p>
      <w:pPr>
        <w:pStyle w:val="Heading2"/>
        <w:spacing w:lineRule="auto" w:line="360" w:before="20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2.2 Функциональные и нефункциональные требования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Функциональные требования к методу и моделям:</w:t>
      </w:r>
    </w:p>
    <w:p>
      <w:pPr>
        <w:pStyle w:val="ListParagraph"/>
        <w:numPr>
          <w:ilvl w:val="0"/>
          <w:numId w:val="29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инкрементальный перенос изменений из реляционного (MySQL) и документоориентированного (MongoDB) источников в аналитическое хранилище;</w:t>
      </w:r>
    </w:p>
    <w:p>
      <w:pPr>
        <w:pStyle w:val="ListParagraph"/>
        <w:numPr>
          <w:ilvl w:val="0"/>
          <w:numId w:val="30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определение границы чтения по перекрывающемуся трейлинговому окну и чтение из источника строк за этой границей;</w:t>
      </w:r>
    </w:p>
    <w:p>
      <w:pPr>
        <w:pStyle w:val="ListParagraph"/>
        <w:numPr>
          <w:ilvl w:val="0"/>
          <w:numId w:val="31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подготовка промежуточной таблицы клонированием целевой и пакетная загрузка инкремента;</w:t>
      </w:r>
    </w:p>
    <w:p>
      <w:pPr>
        <w:pStyle w:val="ListParagraph"/>
        <w:numPr>
          <w:ilvl w:val="0"/>
          <w:numId w:val="32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обновление целевой таблицы: атомарная замена трейлингового окна — для штатной синхронизации, слияние по ключу (вставка отсутствующих, обновление совпавших) — для повторной синхронизации;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повторная синхронизация заданного диапазона (по идентификаторам или по дате) для коррекции и добивки данных;</w:t>
      </w:r>
    </w:p>
    <w:p>
      <w:pPr>
        <w:pStyle w:val="ListParagraph"/>
        <w:numPr>
          <w:ilvl w:val="0"/>
          <w:numId w:val="34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приведение разнородных структур источников к единой схеме целевой таблицы.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Нефункциональные требования: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непрерывная доступность: отсутствие наблюдаемого окна недоступности данных;</w:t>
      </w:r>
    </w:p>
    <w:p>
      <w:pPr>
        <w:pStyle w:val="ListParagraph"/>
        <w:numPr>
          <w:ilvl w:val="0"/>
          <w:numId w:val="36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полнота и сохранность данных: отсутствие пропуска строк и недопустимость удаления данных при коррекции;</w:t>
      </w:r>
    </w:p>
    <w:p>
      <w:pPr>
        <w:pStyle w:val="ListParagraph"/>
        <w:numPr>
          <w:ilvl w:val="0"/>
          <w:numId w:val="37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идемпотентность и устойчивость к сбоям: повторное выполнение цикла не изменяет результат, возобновление после сбоя происходит без потери данных;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согласованность и атомарность обновления целевой таблицы;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масштабируемость и приемлемая стоимость обработки: операции над крупными блоками с ограничением по партициям;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наблюдаемость и сопровождаемость: централизованное описание процессов, трассировка этапов выполнения.</w:t>
      </w:r>
    </w:p>
    <w:p>
      <w:pPr>
        <w:pStyle w:val="Heading2"/>
        <w:spacing w:lineRule="auto" w:line="360" w:before="20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2.3 Концептуальная и логическая модели оптимизированной синхронизации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Концептуальная модель процесса синхронизации представлена в виде UML-диаграммы деятельности (рисунок 2.3). Цикл включает подготовку промежуточной таблицы клонированием целевой, вычисление границы чтения по перекрывающемуся трейлинговому окну, чтение и загрузку инкремента в промежуточную таблицу, выбор варианта обновления целевой таблицы (атомарная замена трейлингового окна — для штатной синхронизации, слияние по ключу без удаления — для повторной синхронизации) и фиксацию границы синхронизации.</w:t>
      </w:r>
    </w:p>
    <w:p>
      <w:pPr>
        <w:pStyle w:val="Normal"/>
        <w:spacing w:lineRule="auto" w:line="360" w:before="120" w:after="20"/>
        <w:jc w:val="center"/>
        <w:rPr/>
      </w:pPr>
      <w:r>
        <w:rPr/>
        <w:drawing>
          <wp:inline distT="0" distB="0" distL="0" distR="0">
            <wp:extent cx="4476750" cy="35814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Рисунок 2.3 — UML: диаграмма деятельности цикла синхронизации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Логическая модель данных приведена на рисунке 2.4. Промежуточная таблица создаётся как клон целевой и наследует её схему, партиционирование (по дню) и кластеризацию (по домену клиента). Источник, промежуточная и целевая таблицы связаны ключом (идентификатором): извлечённые из источника строки загружаются в промежуточную таблицу, а затем переносятся в целевую по ключу слияния. Граница синхронизации определяется по перекрывающемуся трейлинговому окну как минимальный идентификатор среди строк целевой таблицы за последний интервал.</w:t>
      </w:r>
    </w:p>
    <w:p>
      <w:pPr>
        <w:pStyle w:val="Normal"/>
        <w:spacing w:lineRule="auto" w:line="360" w:before="120" w:after="20"/>
        <w:jc w:val="center"/>
        <w:rPr/>
      </w:pPr>
      <w:r>
        <w:rPr/>
        <w:drawing>
          <wp:inline distT="0" distB="0" distL="0" distR="0">
            <wp:extent cx="5715000" cy="27051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Рисунок 2.4 — ER: логическая модель данных (источник → staging → целевая таблица)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Совместно концептуальная и логическая модели формализуют предлагаемый метод: процесс синхронизации (последовательность действий и условие выбора варианта обновления) и структуру данных (сущности, ключи, партиционирование и кластеризацию), на которых этот процесс выполняется. Обновление целевой таблицы крупными блоками без её перезаписи на месте обеспечивает непрерывную доступность, а перечитывание перекрывающегося окна — полноту данных.</w:t>
      </w:r>
    </w:p>
    <w:p>
      <w:pPr>
        <w:pStyle w:val="Heading2"/>
        <w:spacing w:lineRule="auto" w:line="360" w:before="200" w:after="12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spacing w:lineRule="auto" w:line="360" w:before="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2.4 Анализ свойств, ограничений и областей применимости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Свойства разработанного метода и моделей:</w:t>
      </w:r>
    </w:p>
    <w:p>
      <w:pPr>
        <w:pStyle w:val="ListParagraph"/>
        <w:numPr>
          <w:ilvl w:val="0"/>
          <w:numId w:val="41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отсутствие окна недоступности — обновление трейлингового окна выполняется единой атомарной транзакцией, а повторная синхронизация — операцией слияния; промежуточное неполное состояние целевой таблицы не наблюдается;</w:t>
      </w:r>
    </w:p>
    <w:p>
      <w:pPr>
        <w:pStyle w:val="ListParagraph"/>
        <w:numPr>
          <w:ilvl w:val="0"/>
          <w:numId w:val="42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полнота данных — перечитывание перекрывающегося трейлингового окна компенсирует неупорядоченность фиксации транзакций и устраняет пропуск строк;</w:t>
      </w:r>
    </w:p>
    <w:p>
      <w:pPr>
        <w:pStyle w:val="ListParagraph"/>
        <w:numPr>
          <w:ilvl w:val="0"/>
          <w:numId w:val="43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идемпотентность — повторная синхронизация диапазона не изменяет результат и не порождает дубликатов благодаря слиянию по ключу;</w:t>
      </w:r>
    </w:p>
    <w:p>
      <w:pPr>
        <w:pStyle w:val="ListParagraph"/>
        <w:numPr>
          <w:ilvl w:val="0"/>
          <w:numId w:val="44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сохранность данных — слияние не удаляет строки из хранилища, поэтому утрата данных при коррекции исключена;</w:t>
      </w:r>
    </w:p>
    <w:p>
      <w:pPr>
        <w:pStyle w:val="ListParagraph"/>
        <w:numPr>
          <w:ilvl w:val="0"/>
          <w:numId w:val="45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сохранение схемы и партиционирования — промежуточная таблица создаётся клонированием целевой, а операции выполняются над крупными блоками, что соответствует природе колоночного хранилища.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Сравнение предлагаемого метода с известными аналогами по ключевым критериям приведено в таблице 2.1.</w:t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eastAsia="Times New Roman" w:cs="Times New Roman"/>
          <w:sz w:val="28"/>
          <w:szCs w:val="28"/>
        </w:rPr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9"/>
        <w:gridCol w:w="1501"/>
        <w:gridCol w:w="1499"/>
        <w:gridCol w:w="3460"/>
      </w:tblGrid>
      <w:tr>
        <w:trPr>
          <w:tblHeader w:val="true"/>
        </w:trPr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Подход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Окно недоступ-ности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Пропуск строк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Примечание</w:t>
            </w:r>
          </w:p>
        </w:tc>
      </w:tr>
      <w:tr>
        <w:trPr/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Полная перезагрузка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Есть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Высокая стоимость на больших объёмах</w:t>
            </w:r>
          </w:p>
        </w:tc>
      </w:tr>
      <w:tr>
        <w:trPr/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DELETE + INSERT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Есть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Есть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Нестабильность данных</w:t>
            </w:r>
          </w:p>
        </w:tc>
      </w:tr>
      <w:tr>
        <w:trPr/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Инкремент по max(id)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Есть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 учитывает порядок коммитов</w:t>
            </w:r>
          </w:p>
        </w:tc>
      </w:tr>
      <w:tr>
        <w:trPr/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CDC (журнал транзакций)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Требует доступа к журналу, сложная инфраструктура</w:t>
            </w:r>
          </w:p>
        </w:tc>
      </w:tr>
      <w:tr>
        <w:trPr/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Предлагаемый метод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Нет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Staging + атомарная замена / слияние + перекрытие окна</w:t>
            </w:r>
          </w:p>
        </w:tc>
      </w:tr>
    </w:tbl>
    <w:p>
      <w:pPr>
        <w:pStyle w:val="Normal"/>
        <w:spacing w:lineRule="auto" w:line="360" w:before="60" w:after="16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Таблица 2.1 — Сравнение предлагаемого метода с известными аналогами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Ограничения метода и область применимости:</w:t>
      </w:r>
    </w:p>
    <w:p>
      <w:pPr>
        <w:pStyle w:val="ListParagraph"/>
        <w:numPr>
          <w:ilvl w:val="0"/>
          <w:numId w:val="46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требуется наличие надёжного ключа и монотонной временной метки или идентификатора для определения границ окна и выполнения слияния;</w:t>
      </w:r>
    </w:p>
    <w:p>
      <w:pPr>
        <w:pStyle w:val="ListParagraph"/>
        <w:numPr>
          <w:ilvl w:val="0"/>
          <w:numId w:val="47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величина перекрытия трейлингового окна должна превышать максимальную задержку фиксации транзакций: завышенное значение увеличивает объём повторно обрабатываемых данных, заниженное — сохраняет риск пропуска;</w:t>
      </w:r>
    </w:p>
    <w:p>
      <w:pPr>
        <w:pStyle w:val="ListParagraph"/>
        <w:numPr>
          <w:ilvl w:val="0"/>
          <w:numId w:val="48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метод ориентирован на пакетную синхронизацию с задержкой порядка минут и не заменяет потоковую обработку (CDC) в сценариях с требованием близкой к нулю задержки;</w:t>
      </w:r>
    </w:p>
    <w:p>
      <w:pPr>
        <w:pStyle w:val="ListParagraph"/>
        <w:numPr>
          <w:ilvl w:val="0"/>
          <w:numId w:val="49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обновление и слияние по крупным блокам предпочтительны для колоночного аналитического хранилища и менее эффективны для точечных изменений в транзакционных СУБД.</w:t>
      </w:r>
    </w:p>
    <w:p>
      <w:pPr>
        <w:pStyle w:val="Normal"/>
        <w:spacing w:lineRule="auto" w:line="360" w:before="0" w:after="0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Обоснование преимуществ. </w:t>
      </w:r>
      <w:r>
        <w:rPr>
          <w:rFonts w:eastAsia="Times New Roman" w:cs="Times New Roman"/>
          <w:sz w:val="28"/>
          <w:szCs w:val="28"/>
        </w:rPr>
        <w:t>В отличие от схемы DELETE + INSERT, предлагаемый метод не порождает окна недоступности; в отличие от инкремента строго по максимальному идентификатору — не допускает пропуска строк; в отличие от чистого CDC — не требует доступа к журналу транзакций источника. Тем самым метод сочетает непрерывную доступность, полноту и сохранность данных с приемлемой стоимостью обработки в колоночном хранилище.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Выводы по главе 2. </w:t>
      </w:r>
      <w:r>
        <w:rPr>
          <w:rFonts w:eastAsia="Times New Roman" w:cs="Times New Roman"/>
          <w:sz w:val="28"/>
          <w:szCs w:val="28"/>
        </w:rPr>
        <w:t>Обоснован выбор подхода к оптимизации, сформулированы функциональные и нефункциональные требования, разработаны и формализованы средствами UML/ER концептуальная и логическая модели оптимизированной синхронизации. Выполнен анализ свойств, ограничений и областей применимости метода и обоснованы его преимущества перед известными аналогами.</w:t>
      </w:r>
      <w:r>
        <w:br w:type="page"/>
      </w:r>
    </w:p>
    <w:p>
      <w:pPr>
        <w:pStyle w:val="Heading1"/>
        <w:spacing w:lineRule="auto" w:line="360" w:before="0" w:after="16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ходе научно-исследовательской работы во 2 семестре достигнута поставленная цель: проведён аналитический обзор подходов к синхронизации разнородных источников с аналитическим хранилищем, обоснован выбор подхода к оптимизации и разработаны концептуальная и логическая модели оптимизированной синхронизации и обработки данных.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Основные результаты работы:</w:t>
      </w:r>
    </w:p>
    <w:p>
      <w:pPr>
        <w:pStyle w:val="ListParagraph"/>
        <w:numPr>
          <w:ilvl w:val="0"/>
          <w:numId w:val="50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рассмотрены понятия и задачи синхронизации транзакционных источников с аналитическим хранилищем; показана специфика разнородных источников и колоночных облачных хранилищ;</w:t>
      </w:r>
    </w:p>
    <w:p>
      <w:pPr>
        <w:pStyle w:val="ListParagraph"/>
        <w:numPr>
          <w:ilvl w:val="0"/>
          <w:numId w:val="51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выполнен сравнительный анализ стратегий загрузки данных и поставлена научная задача исследования с выделением ограничений существующих подходов;</w:t>
      </w:r>
    </w:p>
    <w:p>
      <w:pPr>
        <w:pStyle w:val="ListParagraph"/>
        <w:numPr>
          <w:ilvl w:val="0"/>
          <w:numId w:val="52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обоснован выбор подхода к оптимизации и сформулированы функциональные и нефункциональные требования к методу и моделям;</w:t>
      </w:r>
    </w:p>
    <w:p>
      <w:pPr>
        <w:pStyle w:val="ListParagraph"/>
        <w:numPr>
          <w:ilvl w:val="0"/>
          <w:numId w:val="53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разработаны и формализованы средствами UML/ER концептуальная и логическая модели оптимизированной синхронизации, устраняющие окно недоступности и пропуск строк;</w:t>
      </w:r>
    </w:p>
    <w:p>
      <w:pPr>
        <w:pStyle w:val="ListParagraph"/>
        <w:numPr>
          <w:ilvl w:val="0"/>
          <w:numId w:val="54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выполнен анализ свойств, ограничений и областей применимости метода и обоснованы его преимущества перед известными аналогами.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Полученные результаты — аналитический обзор, постановка задачи, обоснование подхода, требования и формализованные средствами UML/ER модели — составляют теоретическую основу исследования и соответствуют главам 1 и 2 настоящего отчёта.</w:t>
      </w:r>
      <w:r>
        <w:br w:type="page"/>
      </w:r>
    </w:p>
    <w:p>
      <w:pPr>
        <w:pStyle w:val="Heading1"/>
        <w:spacing w:lineRule="auto" w:line="360" w:before="0" w:after="160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СПИСОК ИСПОЛЬЗОВАННЫХ ИСТОЧНИКОВ</w:t>
      </w:r>
    </w:p>
    <w:p>
      <w:pPr>
        <w:pStyle w:val="ListParagraph"/>
        <w:numPr>
          <w:ilvl w:val="0"/>
          <w:numId w:val="55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Кимбалл Р., Росс М. Инструментарий хранилища данных: полное руководство по размерному моделированию. – 3-е изд. – М.: Вильямс, 2016. – 656 с.</w:t>
      </w:r>
    </w:p>
    <w:p>
      <w:pPr>
        <w:pStyle w:val="ListParagraph"/>
        <w:numPr>
          <w:ilvl w:val="0"/>
          <w:numId w:val="56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Клеппман М. Высоконагруженные приложения. Проектирование, масштабирование, поддержка. – СПб.: Питер, 2018. – 640 с.</w:t>
      </w:r>
    </w:p>
    <w:p>
      <w:pPr>
        <w:pStyle w:val="ListParagraph"/>
        <w:numPr>
          <w:ilvl w:val="0"/>
          <w:numId w:val="57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Гарсиа-Молина Г., Ульман Дж., Уидом Дж. Системы баз данных. Полный курс. – 2-е изд. – М.: Вильямс, 2016. – 1088 с.</w:t>
      </w:r>
    </w:p>
    <w:p>
      <w:pPr>
        <w:pStyle w:val="ListParagraph"/>
        <w:numPr>
          <w:ilvl w:val="0"/>
          <w:numId w:val="58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Карпова И.П. Базы данных: курс лекций и материалы для практических занятий. – СПб.: Питер, 2021. – 240 с.</w:t>
      </w:r>
    </w:p>
    <w:p>
      <w:pPr>
        <w:pStyle w:val="ListParagraph"/>
        <w:numPr>
          <w:ilvl w:val="0"/>
          <w:numId w:val="59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Костенко И.П., Ступина М.В. Обеспечение требований ACID для высоконагруженных СУБД // Молодой исследователь Дона. – 2023. – Т. 8, № 3. – С. 35–39.</w:t>
      </w:r>
    </w:p>
    <w:p>
      <w:pPr>
        <w:pStyle w:val="ListParagraph"/>
        <w:numPr>
          <w:ilvl w:val="0"/>
          <w:numId w:val="60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ГОСТ Р ИСО/МЭК 9075-1–2011. Информационные технологии. Языки баз данных. SQL. Часть 1. Структура (SQL/Framework). – М.: Стандартинформ, 2013. – 32 с.</w:t>
      </w:r>
    </w:p>
    <w:p>
      <w:pPr>
        <w:pStyle w:val="ListParagraph"/>
        <w:numPr>
          <w:ilvl w:val="0"/>
          <w:numId w:val="61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ГОСТ Р 7.0.100–2018. Библиографическая запись. Библиографическое описание. Общие требования и правила составления. – М.: Стандартинформ, 2018. – 124 с.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Doan A., Halevy A., Ives Z. Principles of Data Integration. – Waltham: Morgan Kaufmann, 2012. – 520 p.</w:t>
      </w:r>
    </w:p>
    <w:p>
      <w:pPr>
        <w:pStyle w:val="ListParagraph"/>
        <w:numPr>
          <w:ilvl w:val="0"/>
          <w:numId w:val="63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Зильбершатц А., Корт Г., Сударшан С. Системы баз данных. Полный курс (Database System Concepts). – 7-е изд. – New York: McGraw-Hill Education, 2020. – 1376 p.</w:t>
      </w:r>
    </w:p>
    <w:p>
      <w:pPr>
        <w:pStyle w:val="ListParagraph"/>
        <w:numPr>
          <w:ilvl w:val="0"/>
          <w:numId w:val="64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Abadi D., Boncz P., Harizopoulos S. et al. The Design and Implementation of Modern Column-Oriented Database Systems // Foundations and Trends in Databases. – 2013. – Vol. 5, No. 3. – P. 197–280. – DOI: 10.1561/1900000024.</w:t>
      </w:r>
    </w:p>
    <w:p>
      <w:pPr>
        <w:pStyle w:val="ListParagraph"/>
        <w:numPr>
          <w:ilvl w:val="0"/>
          <w:numId w:val="65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Dinesh L., Devi K.G. An efficient hybrid optimization of ETL process in data warehouse of cloud architecture // Journal of Cloud Computing. – 2024. – Vol. 13. – Art. 12. – DOI: 10.1186/s13677-023-00571-y.</w:t>
      </w:r>
    </w:p>
    <w:p>
      <w:pPr>
        <w:pStyle w:val="ListParagraph"/>
        <w:numPr>
          <w:ilvl w:val="0"/>
          <w:numId w:val="66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Melnik S., Gubarev A., Long J.J. et al. Dremel: Interactive Analysis of Web-Scale Datasets // Proc. of the VLDB Endowment. – 2010. – Vol. 3, No. 1. – P. 330–339. – DOI: 10.14778/1920841.1920886.</w:t>
      </w:r>
    </w:p>
    <w:p>
      <w:pPr>
        <w:pStyle w:val="ListParagraph"/>
        <w:numPr>
          <w:ilvl w:val="0"/>
          <w:numId w:val="67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Kukreja M. Data Engineering with Apache Spark, Delta Lake, and Lakehouse. – Birmingham: Packt Publishing, 2021. – 480 p.</w:t>
      </w:r>
    </w:p>
    <w:p>
      <w:pPr>
        <w:pStyle w:val="ListParagraph"/>
        <w:numPr>
          <w:ilvl w:val="0"/>
          <w:numId w:val="68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Eagar G. Data Engineering with AWS. – 2nd ed. – Birmingham: Packt Publishing, 2023. – 636 p.</w:t>
      </w:r>
    </w:p>
    <w:p>
      <w:pPr>
        <w:pStyle w:val="ListParagraph"/>
        <w:numPr>
          <w:ilvl w:val="0"/>
          <w:numId w:val="69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Reis J., Housley M. Fundamentals of Data Engineering. – Sebastopol: O’Reilly Media, 2022. – 447 p.</w:t>
      </w:r>
    </w:p>
    <w:p>
      <w:pPr>
        <w:pStyle w:val="ListParagraph"/>
        <w:numPr>
          <w:ilvl w:val="0"/>
          <w:numId w:val="70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Koukaras P. Data Integration and Storage Strategies in Heterogeneous Analytical Systems: Architectures, Methods, and Interoperability Challenges // Information (MDPI). – 2025. – Vol. 16, No. 11. – Art. 932. – DOI: 10.3390/info16110932.</w:t>
      </w:r>
    </w:p>
    <w:p>
      <w:pPr>
        <w:pStyle w:val="ListParagraph"/>
        <w:numPr>
          <w:ilvl w:val="0"/>
          <w:numId w:val="71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Harenslak B., de Ruiter J. Data Pipelines with Apache Airflow. – Shelter Island: Manning Publications, 2021. – 480 p.</w:t>
      </w:r>
    </w:p>
    <w:p>
      <w:pPr>
        <w:pStyle w:val="ListParagraph"/>
        <w:numPr>
          <w:ilvl w:val="0"/>
          <w:numId w:val="72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Петров А. Распределённые данные. Алгоритмы работы современных систем хранения информации. – СПб.: Питер, 2021. – 336 с. – (Серия «Бестселлеры O’Reilly»).</w:t>
      </w:r>
    </w:p>
    <w:p>
      <w:pPr>
        <w:pStyle w:val="ListParagraph"/>
        <w:numPr>
          <w:ilvl w:val="0"/>
          <w:numId w:val="73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Макшанов А.В., Журавлев А.Е., Тындыкарь Л.Н. Большие данные. Big Data: учебник. – 3-е изд., стер. – СПб.: Лань, 2023. – 188 с.</w:t>
      </w:r>
    </w:p>
    <w:p>
      <w:pPr>
        <w:pStyle w:val="ListParagraph"/>
        <w:numPr>
          <w:ilvl w:val="0"/>
          <w:numId w:val="74"/>
        </w:numPr>
        <w:spacing w:lineRule="auto" w:line="360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Базы данных научных публикаций: Scopus (www.scopus.com), Web of Science (www.webofscience.com), РИНЦ (elibrary.ru), IEEE Xplore (ieeexplore.ieee.org), ACM Digital Library (dl.acm.org), arXiv (arxiv.org).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067" w:hanging="358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067" w:hanging="35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1067" w:hanging="358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1067" w:hanging="358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1067" w:hanging="35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1067" w:hanging="358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5"/>
    <w:lvlOverride w:ilvl="0">
      <w:startOverride w:val="1"/>
    </w:lvlOverride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6"/>
    <w:lvlOverride w:ilvl="0">
      <w:startOverride w:val="1"/>
    </w:lvlOverride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  <w:num w:numId="40">
    <w:abstractNumId w:val="6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6"/>
  </w:num>
  <w:num w:numId="47">
    <w:abstractNumId w:val="6"/>
  </w:num>
  <w:num w:numId="48">
    <w:abstractNumId w:val="6"/>
  </w:num>
  <w:num w:numId="49">
    <w:abstractNumId w:val="6"/>
  </w:num>
  <w:num w:numId="50">
    <w:abstractNumId w:val="7"/>
    <w:lvlOverride w:ilvl="0">
      <w:startOverride w:val="1"/>
    </w:lvlOverride>
  </w:num>
  <w:num w:numId="51">
    <w:abstractNumId w:val="7"/>
  </w:num>
  <w:num w:numId="52">
    <w:abstractNumId w:val="7"/>
  </w:num>
  <w:num w:numId="53">
    <w:abstractNumId w:val="7"/>
  </w:num>
  <w:num w:numId="54">
    <w:abstractNumId w:val="7"/>
  </w:num>
  <w:num w:numId="55">
    <w:abstractNumId w:val="8"/>
    <w:lvlOverride w:ilvl="0">
      <w:startOverride w:val="1"/>
    </w:lvlOverride>
  </w:num>
  <w:num w:numId="56">
    <w:abstractNumId w:val="8"/>
  </w:num>
  <w:num w:numId="57">
    <w:abstractNumId w:val="8"/>
  </w:num>
  <w:num w:numId="58">
    <w:abstractNumId w:val="8"/>
  </w:num>
  <w:num w:numId="59">
    <w:abstractNumId w:val="8"/>
  </w:num>
  <w:num w:numId="60">
    <w:abstractNumId w:val="8"/>
  </w:num>
  <w:num w:numId="61">
    <w:abstractNumId w:val="8"/>
  </w:num>
  <w:num w:numId="62">
    <w:abstractNumId w:val="8"/>
  </w:num>
  <w:num w:numId="63">
    <w:abstractNumId w:val="8"/>
  </w:num>
  <w:num w:numId="64">
    <w:abstractNumId w:val="8"/>
  </w:num>
  <w:num w:numId="65">
    <w:abstractNumId w:val="8"/>
  </w:num>
  <w:num w:numId="66">
    <w:abstractNumId w:val="8"/>
  </w:num>
  <w:num w:numId="67">
    <w:abstractNumId w:val="8"/>
  </w:num>
  <w:num w:numId="68">
    <w:abstractNumId w:val="8"/>
  </w:num>
  <w:num w:numId="69">
    <w:abstractNumId w:val="8"/>
  </w:num>
  <w:num w:numId="70">
    <w:abstractNumId w:val="8"/>
  </w:num>
  <w:num w:numId="71">
    <w:abstractNumId w:val="8"/>
  </w:num>
  <w:num w:numId="72">
    <w:abstractNumId w:val="8"/>
  </w:num>
  <w:num w:numId="73">
    <w:abstractNumId w:val="8"/>
  </w:num>
  <w:num w:numId="74">
    <w:abstractNumId w:val="8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>
      <w:spacing w:lineRule="exact" w:line="360" w:before="240" w:after="16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lineRule="exact" w:line="360"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23</Pages>
  <Words>3413</Words>
  <Characters>24571</Characters>
  <CharactersWithSpaces>27804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2026-06-09T09:17:38Z</dcterms:created>
  <dc:creator>Un-named</dc:creator>
  <dc:description/>
  <dc:language>en-US</dc:language>
  <cp:lastModifiedBy/>
  <dcterms:modified xsi:type="dcterms:W3CDTF">2026-06-09T13:12:26Z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