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МИНИСТЕРСТВО ПРОСВЕЩЕНИЯ РОССИЙСКОЙ ФЕДЕРАЦИИ</w:t>
      </w:r>
    </w:p>
    <w:p>
      <w:pPr>
        <w:spacing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«ХЕРСОНСКИЙ ГОСУДАРСТВЕННЫЙ ПЕДАГОГИЧЕСКИЙ УНИВЕРСИТЕТ»</w:t>
      </w:r>
    </w:p>
    <w:p>
      <w:pPr>
        <w:spacing w:line="360" w:lineRule="auto"/>
        <w:jc w:val="both"/>
      </w:pPr>
    </w:p>
    <w:p>
      <w:pPr>
        <w:spacing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Институт информационных технологий</w:t>
      </w:r>
    </w:p>
    <w:p>
      <w:pPr>
        <w:spacing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Кафедра программной инженерии и информационных технологий</w:t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ДНЕВНИК ПРАКТИКИ</w:t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Студента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1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Курса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Деменкова Ивана Михайловича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 xml:space="preserve"> (Фамилия, Имя, Отчество)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Место прохождения практики: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программной инженерии и информационных технологий</w:t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Практика пройдена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    18.05.2026    по    30.05.2026</w:t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практики от организации: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/>
          <w:sz w:val="22"/>
        </w:rPr>
        <w:t>(должность, Ф.И.О.)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практики от вуза: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преподаватель Криницкий Юрий Васильевич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/>
          <w:sz w:val="22"/>
        </w:rPr>
        <w:t xml:space="preserve"> (должность, уч. степень, уч. звание, ФИО)</w:t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ХГПУ, 2026 г.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Содержание практики</w:t>
      </w:r>
    </w:p>
    <w:p>
      <w:pPr>
        <w:spacing w:line="360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Дата</w:t>
            </w:r>
          </w:p>
        </w:tc>
        <w:tc>
          <w:tcPr>
            <w:tcW w:type="dxa" w:w="28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Краткое описание выполненной работы, её результаты</w:t>
            </w:r>
          </w:p>
        </w:tc>
        <w:tc>
          <w:tcPr>
            <w:tcW w:type="dxa" w:w="28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Подпись руководителя практики</w:t>
            </w:r>
          </w:p>
        </w:tc>
      </w:tr>
      <w:tr>
        <w:tc>
          <w:tcPr>
            <w:tcW w:type="dxa" w:w="28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1</w:t>
            </w:r>
          </w:p>
        </w:tc>
        <w:tc>
          <w:tcPr>
            <w:tcW w:type="dxa" w:w="28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2</w:t>
            </w:r>
          </w:p>
        </w:tc>
        <w:tc>
          <w:tcPr>
            <w:tcW w:type="dxa" w:w="28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3</w:t>
            </w:r>
          </w:p>
        </w:tc>
      </w:tr>
      <w:tr>
        <w:tc>
          <w:tcPr>
            <w:tcW w:type="dxa" w:w="28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18.05.2026</w:t>
            </w:r>
          </w:p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20.05.2026</w:t>
            </w:r>
          </w:p>
        </w:tc>
        <w:tc>
          <w:tcPr>
            <w:tcW w:type="dxa" w:w="28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- ознакомление с индивидуальным планом работы на весь период практики;</w:t>
            </w:r>
          </w:p>
          <w:p>
            <w:pPr>
              <w:spacing w:line="276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 уточнение методологического аппарата исследования;</w:t>
            </w:r>
          </w:p>
          <w:p>
            <w:pPr>
              <w:spacing w:line="276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 формирование и уточнение перечня источников по тематике процессов синхронизации данных, методов управления процессами обработки данных и архитектуры распределённых систем.</w:t>
            </w:r>
          </w:p>
        </w:tc>
        <w:tc>
          <w:tcPr>
            <w:tcW w:type="dxa" w:w="28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8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21.05.2026</w:t>
            </w:r>
          </w:p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23.05.2026</w:t>
            </w:r>
          </w:p>
        </w:tc>
        <w:tc>
          <w:tcPr>
            <w:tcW w:type="dxa" w:w="28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- изучение архитектуры действующей системы синхронизации данных между гетерогенными источниками и аналитическим хранилищем;</w:t>
            </w:r>
          </w:p>
          <w:p>
            <w:pPr>
              <w:spacing w:line="276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 анализ компонентного состава системы и схемы взаимодействия её модулей.</w:t>
            </w:r>
          </w:p>
        </w:tc>
        <w:tc>
          <w:tcPr>
            <w:tcW w:type="dxa" w:w="28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8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24.05.2026</w:t>
            </w:r>
          </w:p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26.05.2026</w:t>
            </w:r>
          </w:p>
        </w:tc>
        <w:tc>
          <w:tcPr>
            <w:tcW w:type="dxa" w:w="28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- исследование состава, форматов и объёмов передаваемых данных;</w:t>
            </w:r>
          </w:p>
          <w:p>
            <w:pPr>
              <w:spacing w:line="276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 изучение целевой инфраструктуры обработки: контейнеризированной среды выполнения, схемы хранения промежуточных результатов, политики очистки временных артефактов.</w:t>
            </w:r>
          </w:p>
        </w:tc>
        <w:tc>
          <w:tcPr>
            <w:tcW w:type="dxa" w:w="28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8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27.05.2026</w:t>
            </w:r>
          </w:p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28.05.2026</w:t>
            </w:r>
          </w:p>
        </w:tc>
        <w:tc>
          <w:tcPr>
            <w:tcW w:type="dxa" w:w="28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- анализ действующего механизма управления процессами синхронизации на основе системы планирования заданий Rundeck;</w:t>
            </w:r>
          </w:p>
          <w:p>
            <w:pPr>
              <w:spacing w:line="276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 выявление ограничений действующего подхода и обоснование направления модернизации;</w:t>
            </w:r>
          </w:p>
          <w:p>
            <w:pPr>
              <w:spacing w:line="276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 теоретико-сравнительный обзор современных программных средств управления процессами обработки данных.</w:t>
            </w:r>
          </w:p>
        </w:tc>
        <w:tc>
          <w:tcPr>
            <w:tcW w:type="dxa" w:w="28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8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29.05.2026</w:t>
            </w:r>
          </w:p>
        </w:tc>
        <w:tc>
          <w:tcPr>
            <w:tcW w:type="dxa" w:w="28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- систематизация собранного материала для оформления отчёта согласно индивидуальному заданию;</w:t>
            </w:r>
          </w:p>
          <w:p>
            <w:pPr>
              <w:spacing w:line="276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 формулирование основных выводов и направлений дальнейшего исследования.</w:t>
            </w:r>
          </w:p>
        </w:tc>
        <w:tc>
          <w:tcPr>
            <w:tcW w:type="dxa" w:w="28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8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30.05.2026</w:t>
            </w:r>
          </w:p>
        </w:tc>
        <w:tc>
          <w:tcPr>
            <w:tcW w:type="dxa" w:w="28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- подготовка к участию в итоговой конференции;</w:t>
            </w:r>
          </w:p>
          <w:p>
            <w:pPr>
              <w:spacing w:line="276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 оформление отчётной документации и защита отчёта.</w:t>
            </w:r>
          </w:p>
        </w:tc>
        <w:tc>
          <w:tcPr>
            <w:tcW w:type="dxa" w:w="28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</w:tbl>
    <w:p>
      <w:pPr>
        <w:spacing w:line="360" w:lineRule="auto"/>
        <w:jc w:val="both"/>
      </w:pP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Подпись обучающегося            / И.М. Деменков</w:t>
      </w:r>
    </w:p>
    <w:p>
      <w:pPr>
        <w:spacing w:line="360" w:lineRule="auto"/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Содержание и объём выполненных работ подтверждаю.</w:t>
      </w:r>
    </w:p>
    <w:p>
      <w:pPr>
        <w:spacing w:line="360" w:lineRule="auto"/>
        <w:jc w:val="both"/>
      </w:pP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Непосредственный руководитель</w:t>
      </w:r>
    </w:p>
    <w:p>
      <w:pPr>
        <w:spacing w:line="360" w:lineRule="auto"/>
        <w:jc w:val="both"/>
      </w:pP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практики от организации</w:t>
        <w:tab/>
        <w:tab/>
        <w:t xml:space="preserve">                                     /</w:t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Дата: 30 мая 2026 г.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