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position w:val="-2"/>
        </w:rPr>
        <w:t>General c</w:t>
      </w:r>
      <w:r>
        <w:rPr/>
        <w:t>onditions for the provision of Services</w:t>
      </w:r>
    </w:p>
    <w:p>
      <w:pPr>
        <w:pStyle w:val="OrganisationName"/>
        <w:rPr/>
      </w:pPr>
      <w:r>
        <w:rPr/>
      </w:r>
    </w:p>
    <w:p>
      <w:pPr>
        <w:pStyle w:val="OrganisationName"/>
        <w:rPr/>
      </w:pPr>
      <w:r>
        <w:rPr/>
      </w:r>
    </w:p>
    <w:p>
      <w:pPr>
        <w:pStyle w:val="OrganisationName"/>
        <w:rPr/>
      </w:pPr>
      <w:r>
        <w:rPr/>
        <w:t>[Organisation name]</w:t>
      </w:r>
    </w:p>
    <w:p>
      <w:pPr>
        <w:pStyle w:val="Normal"/>
        <w:rPr/>
      </w:pPr>
      <w:r>
        <w:rPr/>
      </w:r>
    </w:p>
    <w:p>
      <w:pPr>
        <w:pStyle w:val="Normal"/>
        <w:rPr/>
      </w:pPr>
      <w:r>
        <w:rPr/>
        <w:t>Version 1.2</w:t>
      </w:r>
    </w:p>
    <w:p>
      <w:pPr>
        <w:pStyle w:val="Normal"/>
        <w:spacing w:lineRule="auto" w:line="240" w:before="0" w:after="0"/>
        <w:rPr/>
      </w:pPr>
      <w:r>
        <w:rPr/>
      </w:r>
    </w:p>
    <w:p>
      <w:pPr>
        <w:pStyle w:val="Normal"/>
        <w:rPr/>
      </w:pPr>
      <w:r>
        <w:rPr/>
      </w:r>
    </w:p>
    <w:p>
      <w:pPr>
        <w:sectPr>
          <w:headerReference w:type="default" r:id="rId2"/>
          <w:footerReference w:type="default" r:id="rId3"/>
          <w:type w:val="nextPage"/>
          <w:pgSz w:w="11906" w:h="16838"/>
          <w:pgMar w:left="1152" w:right="1152" w:header="461" w:top="1440" w:footer="288" w:bottom="1152" w:gutter="0"/>
          <w:pgNumType w:start="1" w:fmt="decimal"/>
          <w:formProt w:val="false"/>
          <w:textDirection w:val="lrTb"/>
          <w:docGrid w:type="default" w:linePitch="360" w:charSpace="0"/>
        </w:sectPr>
        <w:pStyle w:val="Normal"/>
        <w:rPr/>
      </w:pPr>
      <w:r>
        <w:rPr/>
      </w:r>
    </w:p>
    <w:p>
      <w:pPr>
        <w:pStyle w:val="TOCHeading"/>
        <w:rPr/>
      </w:pPr>
      <w:r>
        <w:rPr/>
        <w:t>Contents</w:t>
      </w:r>
    </w:p>
    <w:sdt>
      <w:sdtPr>
        <w:docPartObj>
          <w:docPartGallery w:val="Table of Contents"/>
          <w:docPartUnique w:val="true"/>
        </w:docPartObj>
      </w:sdtPr>
      <w:sdtContent>
        <w:p>
          <w:pPr>
            <w:pStyle w:val="Contents1"/>
            <w:rPr>
              <w:rFonts w:eastAsia="" w:cs="" w:cstheme="minorBidi" w:eastAsiaTheme="minorEastAsia"/>
              <w:sz w:val="22"/>
              <w:szCs w:val="22"/>
            </w:rPr>
          </w:pPr>
          <w:r>
            <w:fldChar w:fldCharType="begin"/>
          </w:r>
          <w:r>
            <w:rPr>
              <w:webHidden/>
              <w:rStyle w:val="IndexLink"/>
              <w:rFonts w:cs="Arial"/>
            </w:rPr>
            <w:instrText> TOC \z \t "Clause Heading 1,1" \h</w:instrText>
          </w:r>
          <w:r>
            <w:rPr>
              <w:webHidden/>
              <w:rStyle w:val="IndexLink"/>
              <w:rFonts w:cs="Arial"/>
            </w:rPr>
            <w:fldChar w:fldCharType="separate"/>
          </w:r>
          <w:hyperlink w:anchor="_Toc66354286">
            <w:r>
              <w:rPr>
                <w:webHidden/>
                <w:rStyle w:val="IndexLink"/>
                <w:rFonts w:cs="Arial" w:cstheme="minorHAnsi"/>
              </w:rPr>
              <w:t>1.</w:t>
            </w:r>
            <w:r>
              <w:rPr>
                <w:rStyle w:val="IndexLink"/>
                <w:rFonts w:eastAsia="" w:cs="" w:cstheme="minorBidi" w:eastAsiaTheme="minorEastAsia"/>
                <w:sz w:val="22"/>
                <w:szCs w:val="22"/>
              </w:rPr>
              <w:tab/>
            </w:r>
            <w:r>
              <w:rPr>
                <w:rStyle w:val="IndexLink"/>
              </w:rPr>
              <w:t>Term of Agreement</w:t>
            </w:r>
            <w:r>
              <w:rPr>
                <w:webHidden/>
              </w:rPr>
              <w:fldChar w:fldCharType="begin"/>
            </w:r>
            <w:r>
              <w:rPr>
                <w:webHidden/>
              </w:rPr>
              <w:instrText>PAGEREF _Toc66354286 \h</w:instrText>
            </w:r>
            <w:r>
              <w:rPr>
                <w:webHidden/>
              </w:rPr>
              <w:fldChar w:fldCharType="separate"/>
            </w:r>
            <w:r>
              <w:rPr>
                <w:rStyle w:val="IndexLink"/>
                <w:vanish w:val="false"/>
              </w:rPr>
              <w:tab/>
              <w:t>1</w:t>
            </w:r>
            <w:r>
              <w:rPr>
                <w:webHidden/>
              </w:rPr>
              <w:fldChar w:fldCharType="end"/>
            </w:r>
          </w:hyperlink>
        </w:p>
        <w:p>
          <w:pPr>
            <w:pStyle w:val="Contents1"/>
            <w:rPr>
              <w:rFonts w:eastAsia="" w:cs="" w:cstheme="minorBidi" w:eastAsiaTheme="minorEastAsia"/>
              <w:sz w:val="22"/>
              <w:szCs w:val="22"/>
            </w:rPr>
          </w:pPr>
          <w:hyperlink w:anchor="_Toc66354287">
            <w:r>
              <w:rPr>
                <w:webHidden/>
                <w:rStyle w:val="IndexLink"/>
                <w:rFonts w:cs="Arial" w:cstheme="minorHAnsi"/>
              </w:rPr>
              <w:t>2.</w:t>
            </w:r>
            <w:r>
              <w:rPr>
                <w:rStyle w:val="IndexLink"/>
                <w:rFonts w:eastAsia="" w:cs="" w:cstheme="minorBidi" w:eastAsiaTheme="minorEastAsia"/>
                <w:sz w:val="22"/>
                <w:szCs w:val="22"/>
              </w:rPr>
              <w:tab/>
            </w:r>
            <w:r>
              <w:rPr>
                <w:rStyle w:val="IndexLink"/>
              </w:rPr>
              <w:t>Provision of Services</w:t>
            </w:r>
            <w:r>
              <w:rPr>
                <w:webHidden/>
              </w:rPr>
              <w:fldChar w:fldCharType="begin"/>
            </w:r>
            <w:r>
              <w:rPr>
                <w:webHidden/>
              </w:rPr>
              <w:instrText>PAGEREF _Toc66354287 \h</w:instrText>
            </w:r>
            <w:r>
              <w:rPr>
                <w:webHidden/>
              </w:rPr>
              <w:fldChar w:fldCharType="separate"/>
            </w:r>
            <w:r>
              <w:rPr>
                <w:rStyle w:val="IndexLink"/>
                <w:vanish w:val="false"/>
              </w:rPr>
              <w:tab/>
              <w:t>1</w:t>
            </w:r>
            <w:r>
              <w:rPr>
                <w:webHidden/>
              </w:rPr>
              <w:fldChar w:fldCharType="end"/>
            </w:r>
          </w:hyperlink>
        </w:p>
        <w:p>
          <w:pPr>
            <w:pStyle w:val="Contents1"/>
            <w:rPr>
              <w:rFonts w:eastAsia="" w:cs="" w:cstheme="minorBidi" w:eastAsiaTheme="minorEastAsia"/>
              <w:sz w:val="22"/>
              <w:szCs w:val="22"/>
            </w:rPr>
          </w:pPr>
          <w:hyperlink w:anchor="_Toc66354288">
            <w:r>
              <w:rPr>
                <w:webHidden/>
                <w:rStyle w:val="IndexLink"/>
                <w:rFonts w:cs="Arial" w:cstheme="minorHAnsi"/>
              </w:rPr>
              <w:t>3.</w:t>
            </w:r>
            <w:r>
              <w:rPr>
                <w:rStyle w:val="IndexLink"/>
                <w:rFonts w:eastAsia="" w:cs="" w:cstheme="minorBidi" w:eastAsiaTheme="minorEastAsia"/>
                <w:sz w:val="22"/>
                <w:szCs w:val="22"/>
              </w:rPr>
              <w:tab/>
            </w:r>
            <w:r>
              <w:rPr>
                <w:rStyle w:val="IndexLink"/>
              </w:rPr>
              <w:t>Price for the Services</w:t>
            </w:r>
            <w:r>
              <w:rPr>
                <w:webHidden/>
              </w:rPr>
              <w:fldChar w:fldCharType="begin"/>
            </w:r>
            <w:r>
              <w:rPr>
                <w:webHidden/>
              </w:rPr>
              <w:instrText>PAGEREF _Toc66354288 \h</w:instrText>
            </w:r>
            <w:r>
              <w:rPr>
                <w:webHidden/>
              </w:rPr>
              <w:fldChar w:fldCharType="separate"/>
            </w:r>
            <w:r>
              <w:rPr>
                <w:rStyle w:val="IndexLink"/>
                <w:vanish w:val="false"/>
              </w:rPr>
              <w:tab/>
              <w:t>1</w:t>
            </w:r>
            <w:r>
              <w:rPr>
                <w:webHidden/>
              </w:rPr>
              <w:fldChar w:fldCharType="end"/>
            </w:r>
          </w:hyperlink>
        </w:p>
        <w:p>
          <w:pPr>
            <w:pStyle w:val="Contents1"/>
            <w:rPr>
              <w:rFonts w:eastAsia="" w:cs="" w:cstheme="minorBidi" w:eastAsiaTheme="minorEastAsia"/>
              <w:sz w:val="22"/>
              <w:szCs w:val="22"/>
            </w:rPr>
          </w:pPr>
          <w:hyperlink w:anchor="_Toc66354289">
            <w:r>
              <w:rPr>
                <w:webHidden/>
                <w:rStyle w:val="IndexLink"/>
                <w:rFonts w:cs="Arial" w:cstheme="minorHAnsi"/>
              </w:rPr>
              <w:t>4.</w:t>
            </w:r>
            <w:r>
              <w:rPr>
                <w:rStyle w:val="IndexLink"/>
                <w:rFonts w:eastAsia="" w:cs="" w:cstheme="minorBidi" w:eastAsiaTheme="minorEastAsia"/>
                <w:sz w:val="22"/>
                <w:szCs w:val="22"/>
              </w:rPr>
              <w:tab/>
            </w:r>
            <w:r>
              <w:rPr>
                <w:rStyle w:val="IndexLink"/>
              </w:rPr>
              <w:t>Invoicing and payment</w:t>
            </w:r>
            <w:r>
              <w:rPr>
                <w:webHidden/>
              </w:rPr>
              <w:fldChar w:fldCharType="begin"/>
            </w:r>
            <w:r>
              <w:rPr>
                <w:webHidden/>
              </w:rPr>
              <w:instrText>PAGEREF _Toc66354289 \h</w:instrText>
            </w:r>
            <w:r>
              <w:rPr>
                <w:webHidden/>
              </w:rPr>
              <w:fldChar w:fldCharType="separate"/>
            </w:r>
            <w:r>
              <w:rPr>
                <w:rStyle w:val="IndexLink"/>
                <w:vanish w:val="false"/>
              </w:rPr>
              <w:tab/>
              <w:t>2</w:t>
            </w:r>
            <w:r>
              <w:rPr>
                <w:webHidden/>
              </w:rPr>
              <w:fldChar w:fldCharType="end"/>
            </w:r>
          </w:hyperlink>
        </w:p>
        <w:p>
          <w:pPr>
            <w:pStyle w:val="Contents1"/>
            <w:rPr>
              <w:rFonts w:eastAsia="" w:cs="" w:cstheme="minorBidi" w:eastAsiaTheme="minorEastAsia"/>
              <w:sz w:val="22"/>
              <w:szCs w:val="22"/>
            </w:rPr>
          </w:pPr>
          <w:hyperlink w:anchor="_Toc66354290">
            <w:r>
              <w:rPr>
                <w:webHidden/>
                <w:rStyle w:val="IndexLink"/>
                <w:rFonts w:cs="Arial" w:cstheme="minorHAnsi"/>
              </w:rPr>
              <w:t>5.</w:t>
            </w:r>
            <w:r>
              <w:rPr>
                <w:rStyle w:val="IndexLink"/>
                <w:rFonts w:eastAsia="" w:cs="" w:cstheme="minorBidi" w:eastAsiaTheme="minorEastAsia"/>
                <w:sz w:val="22"/>
                <w:szCs w:val="22"/>
              </w:rPr>
              <w:tab/>
            </w:r>
            <w:r>
              <w:rPr>
                <w:rStyle w:val="IndexLink"/>
              </w:rPr>
              <w:t>Fair Payments Policy</w:t>
            </w:r>
            <w:r>
              <w:rPr>
                <w:webHidden/>
              </w:rPr>
              <w:fldChar w:fldCharType="begin"/>
            </w:r>
            <w:r>
              <w:rPr>
                <w:webHidden/>
              </w:rPr>
              <w:instrText>PAGEREF _Toc66354290 \h</w:instrText>
            </w:r>
            <w:r>
              <w:rPr>
                <w:webHidden/>
              </w:rPr>
              <w:fldChar w:fldCharType="separate"/>
            </w:r>
            <w:r>
              <w:rPr>
                <w:rStyle w:val="IndexLink"/>
                <w:vanish w:val="false"/>
              </w:rPr>
              <w:tab/>
              <w:t>2</w:t>
            </w:r>
            <w:r>
              <w:rPr>
                <w:webHidden/>
              </w:rPr>
              <w:fldChar w:fldCharType="end"/>
            </w:r>
          </w:hyperlink>
        </w:p>
        <w:p>
          <w:pPr>
            <w:pStyle w:val="Contents1"/>
            <w:rPr>
              <w:rFonts w:eastAsia="" w:cs="" w:cstheme="minorBidi" w:eastAsiaTheme="minorEastAsia"/>
              <w:sz w:val="22"/>
              <w:szCs w:val="22"/>
            </w:rPr>
          </w:pPr>
          <w:hyperlink w:anchor="_Toc66354291">
            <w:r>
              <w:rPr>
                <w:webHidden/>
                <w:rStyle w:val="IndexLink"/>
                <w:rFonts w:cs="Arial" w:cstheme="minorHAnsi"/>
              </w:rPr>
              <w:t>6.</w:t>
            </w:r>
            <w:r>
              <w:rPr>
                <w:rStyle w:val="IndexLink"/>
                <w:rFonts w:eastAsia="" w:cs="" w:cstheme="minorBidi" w:eastAsiaTheme="minorEastAsia"/>
                <w:sz w:val="22"/>
                <w:szCs w:val="22"/>
              </w:rPr>
              <w:tab/>
            </w:r>
            <w:r>
              <w:rPr>
                <w:rStyle w:val="IndexLink"/>
              </w:rPr>
              <w:t>Failure to perform</w:t>
            </w:r>
            <w:r>
              <w:rPr>
                <w:webHidden/>
              </w:rPr>
              <w:fldChar w:fldCharType="begin"/>
            </w:r>
            <w:r>
              <w:rPr>
                <w:webHidden/>
              </w:rPr>
              <w:instrText>PAGEREF _Toc66354291 \h</w:instrText>
            </w:r>
            <w:r>
              <w:rPr>
                <w:webHidden/>
              </w:rPr>
              <w:fldChar w:fldCharType="separate"/>
            </w:r>
            <w:r>
              <w:rPr>
                <w:rStyle w:val="IndexLink"/>
                <w:vanish w:val="false"/>
              </w:rPr>
              <w:tab/>
              <w:t>2</w:t>
            </w:r>
            <w:r>
              <w:rPr>
                <w:webHidden/>
              </w:rPr>
              <w:fldChar w:fldCharType="end"/>
            </w:r>
          </w:hyperlink>
        </w:p>
        <w:p>
          <w:pPr>
            <w:pStyle w:val="Contents1"/>
            <w:rPr>
              <w:rFonts w:eastAsia="" w:cs="" w:cstheme="minorBidi" w:eastAsiaTheme="minorEastAsia"/>
              <w:sz w:val="22"/>
              <w:szCs w:val="22"/>
            </w:rPr>
          </w:pPr>
          <w:hyperlink w:anchor="_Toc66354292">
            <w:r>
              <w:rPr>
                <w:webHidden/>
                <w:rStyle w:val="IndexLink"/>
                <w:rFonts w:cs="Arial" w:cstheme="minorHAnsi"/>
              </w:rPr>
              <w:t>7.</w:t>
            </w:r>
            <w:r>
              <w:rPr>
                <w:rStyle w:val="IndexLink"/>
                <w:rFonts w:eastAsia="" w:cs="" w:cstheme="minorBidi" w:eastAsiaTheme="minorEastAsia"/>
                <w:sz w:val="22"/>
                <w:szCs w:val="22"/>
              </w:rPr>
              <w:tab/>
            </w:r>
            <w:r>
              <w:rPr>
                <w:rStyle w:val="IndexLink"/>
              </w:rPr>
              <w:t>Intellectual Property Rights</w:t>
            </w:r>
            <w:r>
              <w:rPr>
                <w:webHidden/>
              </w:rPr>
              <w:fldChar w:fldCharType="begin"/>
            </w:r>
            <w:r>
              <w:rPr>
                <w:webHidden/>
              </w:rPr>
              <w:instrText>PAGEREF _Toc66354292 \h</w:instrText>
            </w:r>
            <w:r>
              <w:rPr>
                <w:webHidden/>
              </w:rPr>
              <w:fldChar w:fldCharType="separate"/>
            </w:r>
            <w:r>
              <w:rPr>
                <w:rStyle w:val="IndexLink"/>
                <w:vanish w:val="false"/>
              </w:rPr>
              <w:tab/>
              <w:t>2</w:t>
            </w:r>
            <w:r>
              <w:rPr>
                <w:webHidden/>
              </w:rPr>
              <w:fldChar w:fldCharType="end"/>
            </w:r>
          </w:hyperlink>
        </w:p>
        <w:p>
          <w:pPr>
            <w:pStyle w:val="Contents1"/>
            <w:rPr>
              <w:rFonts w:eastAsia="" w:cs="" w:cstheme="minorBidi" w:eastAsiaTheme="minorEastAsia"/>
              <w:sz w:val="22"/>
              <w:szCs w:val="22"/>
            </w:rPr>
          </w:pPr>
          <w:hyperlink w:anchor="_Toc66354293">
            <w:r>
              <w:rPr>
                <w:webHidden/>
                <w:rStyle w:val="IndexLink"/>
                <w:rFonts w:cs="Arial" w:cstheme="minorHAnsi"/>
              </w:rPr>
              <w:t>8.</w:t>
            </w:r>
            <w:r>
              <w:rPr>
                <w:rStyle w:val="IndexLink"/>
                <w:rFonts w:eastAsia="" w:cs="" w:cstheme="minorBidi" w:eastAsiaTheme="minorEastAsia"/>
                <w:sz w:val="22"/>
                <w:szCs w:val="22"/>
              </w:rPr>
              <w:tab/>
            </w:r>
            <w:r>
              <w:rPr>
                <w:rStyle w:val="IndexLink"/>
              </w:rPr>
              <w:t>Data</w:t>
            </w:r>
            <w:r>
              <w:rPr>
                <w:webHidden/>
              </w:rPr>
              <w:fldChar w:fldCharType="begin"/>
            </w:r>
            <w:r>
              <w:rPr>
                <w:webHidden/>
              </w:rPr>
              <w:instrText>PAGEREF _Toc66354293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sz w:val="22"/>
              <w:szCs w:val="22"/>
            </w:rPr>
          </w:pPr>
          <w:hyperlink w:anchor="_Toc66354294">
            <w:r>
              <w:rPr>
                <w:webHidden/>
                <w:rStyle w:val="IndexLink"/>
                <w:rFonts w:cs="Arial" w:cstheme="minorHAnsi"/>
              </w:rPr>
              <w:t>9.</w:t>
            </w:r>
            <w:r>
              <w:rPr>
                <w:rStyle w:val="IndexLink"/>
                <w:rFonts w:eastAsia="" w:cs="" w:cstheme="minorBidi" w:eastAsiaTheme="minorEastAsia"/>
                <w:sz w:val="22"/>
                <w:szCs w:val="22"/>
              </w:rPr>
              <w:tab/>
            </w:r>
            <w:r>
              <w:rPr>
                <w:rStyle w:val="IndexLink"/>
              </w:rPr>
              <w:t>Liability</w:t>
            </w:r>
            <w:r>
              <w:rPr>
                <w:webHidden/>
              </w:rPr>
              <w:fldChar w:fldCharType="begin"/>
            </w:r>
            <w:r>
              <w:rPr>
                <w:webHidden/>
              </w:rPr>
              <w:instrText>PAGEREF _Toc66354294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sz w:val="22"/>
              <w:szCs w:val="22"/>
            </w:rPr>
          </w:pPr>
          <w:hyperlink w:anchor="_Toc66354295">
            <w:r>
              <w:rPr>
                <w:webHidden/>
                <w:rStyle w:val="IndexLink"/>
                <w:rFonts w:cs="Arial" w:cstheme="minorHAnsi"/>
              </w:rPr>
              <w:t>10.</w:t>
            </w:r>
            <w:r>
              <w:rPr>
                <w:rStyle w:val="IndexLink"/>
                <w:rFonts w:eastAsia="" w:cs="" w:cstheme="minorBidi" w:eastAsiaTheme="minorEastAsia"/>
                <w:sz w:val="22"/>
                <w:szCs w:val="22"/>
              </w:rPr>
              <w:tab/>
            </w:r>
            <w:r>
              <w:rPr>
                <w:rStyle w:val="IndexLink"/>
              </w:rPr>
              <w:t>Warranties</w:t>
            </w:r>
            <w:r>
              <w:rPr>
                <w:webHidden/>
              </w:rPr>
              <w:fldChar w:fldCharType="begin"/>
            </w:r>
            <w:r>
              <w:rPr>
                <w:webHidden/>
              </w:rPr>
              <w:instrText>PAGEREF _Toc66354295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sz w:val="22"/>
              <w:szCs w:val="22"/>
            </w:rPr>
          </w:pPr>
          <w:hyperlink w:anchor="_Toc66354296">
            <w:r>
              <w:rPr>
                <w:webHidden/>
                <w:rStyle w:val="IndexLink"/>
                <w:rFonts w:cs="Arial" w:cstheme="minorHAnsi"/>
              </w:rPr>
              <w:t>11.</w:t>
            </w:r>
            <w:r>
              <w:rPr>
                <w:rStyle w:val="IndexLink"/>
                <w:rFonts w:eastAsia="" w:cs="" w:cstheme="minorBidi" w:eastAsiaTheme="minorEastAsia"/>
                <w:sz w:val="22"/>
                <w:szCs w:val="22"/>
              </w:rPr>
              <w:tab/>
            </w:r>
            <w:r>
              <w:rPr>
                <w:rStyle w:val="IndexLink"/>
              </w:rPr>
              <w:t>Termination</w:t>
            </w:r>
            <w:r>
              <w:rPr>
                <w:webHidden/>
              </w:rPr>
              <w:fldChar w:fldCharType="begin"/>
            </w:r>
            <w:r>
              <w:rPr>
                <w:webHidden/>
              </w:rPr>
              <w:instrText>PAGEREF _Toc66354296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sz w:val="22"/>
              <w:szCs w:val="22"/>
            </w:rPr>
          </w:pPr>
          <w:hyperlink w:anchor="_Toc66354297">
            <w:r>
              <w:rPr>
                <w:webHidden/>
                <w:rStyle w:val="IndexLink"/>
                <w:rFonts w:cs="Arial" w:cstheme="minorHAnsi"/>
              </w:rPr>
              <w:t>12.</w:t>
            </w:r>
            <w:r>
              <w:rPr>
                <w:rStyle w:val="IndexLink"/>
                <w:rFonts w:eastAsia="" w:cs="" w:cstheme="minorBidi" w:eastAsiaTheme="minorEastAsia"/>
                <w:sz w:val="22"/>
                <w:szCs w:val="22"/>
              </w:rPr>
              <w:tab/>
            </w:r>
            <w:r>
              <w:rPr>
                <w:rStyle w:val="IndexLink"/>
              </w:rPr>
              <w:t>Insurance</w:t>
            </w:r>
            <w:r>
              <w:rPr>
                <w:webHidden/>
              </w:rPr>
              <w:fldChar w:fldCharType="begin"/>
            </w:r>
            <w:r>
              <w:rPr>
                <w:webHidden/>
              </w:rPr>
              <w:instrText>PAGEREF _Toc66354297 \h</w:instrText>
            </w:r>
            <w:r>
              <w:rPr>
                <w:webHidden/>
              </w:rPr>
              <w:fldChar w:fldCharType="separate"/>
            </w:r>
            <w:r>
              <w:rPr>
                <w:rStyle w:val="IndexLink"/>
                <w:vanish w:val="false"/>
              </w:rPr>
              <w:tab/>
              <w:t>4</w:t>
            </w:r>
            <w:r>
              <w:rPr>
                <w:webHidden/>
              </w:rPr>
              <w:fldChar w:fldCharType="end"/>
            </w:r>
          </w:hyperlink>
        </w:p>
        <w:p>
          <w:pPr>
            <w:pStyle w:val="Contents1"/>
            <w:rPr>
              <w:rFonts w:eastAsia="" w:cs="" w:cstheme="minorBidi" w:eastAsiaTheme="minorEastAsia"/>
              <w:sz w:val="22"/>
              <w:szCs w:val="22"/>
            </w:rPr>
          </w:pPr>
          <w:hyperlink w:anchor="_Toc66354298">
            <w:r>
              <w:rPr>
                <w:webHidden/>
                <w:rStyle w:val="IndexLink"/>
                <w:rFonts w:cs="Arial" w:cstheme="minorHAnsi"/>
              </w:rPr>
              <w:t>13.</w:t>
            </w:r>
            <w:r>
              <w:rPr>
                <w:rStyle w:val="IndexLink"/>
                <w:rFonts w:eastAsia="" w:cs="" w:cstheme="minorBidi" w:eastAsiaTheme="minorEastAsia"/>
                <w:sz w:val="22"/>
                <w:szCs w:val="22"/>
              </w:rPr>
              <w:tab/>
            </w:r>
            <w:r>
              <w:rPr>
                <w:rStyle w:val="IndexLink"/>
              </w:rPr>
              <w:t>Confidentiality, privacy and data protection</w:t>
            </w:r>
            <w:r>
              <w:rPr>
                <w:webHidden/>
              </w:rPr>
              <w:fldChar w:fldCharType="begin"/>
            </w:r>
            <w:r>
              <w:rPr>
                <w:webHidden/>
              </w:rPr>
              <w:instrText>PAGEREF _Toc66354298 \h</w:instrText>
            </w:r>
            <w:r>
              <w:rPr>
                <w:webHidden/>
              </w:rPr>
              <w:fldChar w:fldCharType="separate"/>
            </w:r>
            <w:r>
              <w:rPr>
                <w:rStyle w:val="IndexLink"/>
                <w:vanish w:val="false"/>
              </w:rPr>
              <w:tab/>
              <w:t>4</w:t>
            </w:r>
            <w:r>
              <w:rPr>
                <w:webHidden/>
              </w:rPr>
              <w:fldChar w:fldCharType="end"/>
            </w:r>
          </w:hyperlink>
        </w:p>
        <w:p>
          <w:pPr>
            <w:pStyle w:val="Contents1"/>
            <w:rPr>
              <w:rFonts w:eastAsia="" w:cs="" w:cstheme="minorBidi" w:eastAsiaTheme="minorEastAsia"/>
              <w:sz w:val="22"/>
              <w:szCs w:val="22"/>
            </w:rPr>
          </w:pPr>
          <w:hyperlink w:anchor="_Toc66354299">
            <w:r>
              <w:rPr>
                <w:webHidden/>
                <w:rStyle w:val="IndexLink"/>
                <w:rFonts w:cs="Arial" w:cstheme="minorHAnsi"/>
              </w:rPr>
              <w:t>14.</w:t>
            </w:r>
            <w:r>
              <w:rPr>
                <w:rStyle w:val="IndexLink"/>
                <w:rFonts w:eastAsia="" w:cs="" w:cstheme="minorBidi" w:eastAsiaTheme="minorEastAsia"/>
                <w:sz w:val="22"/>
                <w:szCs w:val="22"/>
              </w:rPr>
              <w:tab/>
            </w:r>
            <w:r>
              <w:rPr>
                <w:rStyle w:val="IndexLink"/>
              </w:rPr>
              <w:t>Access</w:t>
            </w:r>
            <w:r>
              <w:rPr>
                <w:webHidden/>
              </w:rPr>
              <w:fldChar w:fldCharType="begin"/>
            </w:r>
            <w:r>
              <w:rPr>
                <w:webHidden/>
              </w:rPr>
              <w:instrText>PAGEREF _Toc66354299 \h</w:instrText>
            </w:r>
            <w:r>
              <w:rPr>
                <w:webHidden/>
              </w:rPr>
              <w:fldChar w:fldCharType="separate"/>
            </w:r>
            <w:r>
              <w:rPr>
                <w:rStyle w:val="IndexLink"/>
                <w:vanish w:val="false"/>
              </w:rPr>
              <w:tab/>
              <w:t>5</w:t>
            </w:r>
            <w:r>
              <w:rPr>
                <w:webHidden/>
              </w:rPr>
              <w:fldChar w:fldCharType="end"/>
            </w:r>
          </w:hyperlink>
        </w:p>
        <w:p>
          <w:pPr>
            <w:pStyle w:val="Contents1"/>
            <w:rPr>
              <w:rFonts w:eastAsia="" w:cs="" w:cstheme="minorBidi" w:eastAsiaTheme="minorEastAsia"/>
              <w:sz w:val="22"/>
              <w:szCs w:val="22"/>
            </w:rPr>
          </w:pPr>
          <w:hyperlink w:anchor="_Toc66354300">
            <w:r>
              <w:rPr>
                <w:webHidden/>
                <w:rStyle w:val="IndexLink"/>
                <w:rFonts w:cs="Arial" w:cstheme="minorHAnsi"/>
              </w:rPr>
              <w:t>15.</w:t>
            </w:r>
            <w:r>
              <w:rPr>
                <w:rStyle w:val="IndexLink"/>
                <w:rFonts w:eastAsia="" w:cs="" w:cstheme="minorBidi" w:eastAsiaTheme="minorEastAsia"/>
                <w:sz w:val="22"/>
                <w:szCs w:val="22"/>
              </w:rPr>
              <w:tab/>
            </w:r>
            <w:r>
              <w:rPr>
                <w:rStyle w:val="IndexLink"/>
              </w:rPr>
              <w:t>Sub</w:t>
              <w:noBreakHyphen/>
              <w:t>contracting</w:t>
            </w:r>
            <w:r>
              <w:rPr>
                <w:webHidden/>
              </w:rPr>
              <w:fldChar w:fldCharType="begin"/>
            </w:r>
            <w:r>
              <w:rPr>
                <w:webHidden/>
              </w:rPr>
              <w:instrText>PAGEREF _Toc66354300 \h</w:instrText>
            </w:r>
            <w:r>
              <w:rPr>
                <w:webHidden/>
              </w:rPr>
              <w:fldChar w:fldCharType="separate"/>
            </w:r>
            <w:r>
              <w:rPr>
                <w:rStyle w:val="IndexLink"/>
                <w:vanish w:val="false"/>
              </w:rPr>
              <w:tab/>
              <w:t>5</w:t>
            </w:r>
            <w:r>
              <w:rPr>
                <w:webHidden/>
              </w:rPr>
              <w:fldChar w:fldCharType="end"/>
            </w:r>
          </w:hyperlink>
        </w:p>
        <w:p>
          <w:pPr>
            <w:pStyle w:val="Contents1"/>
            <w:rPr>
              <w:rFonts w:eastAsia="" w:cs="" w:cstheme="minorBidi" w:eastAsiaTheme="minorEastAsia"/>
              <w:sz w:val="22"/>
              <w:szCs w:val="22"/>
            </w:rPr>
          </w:pPr>
          <w:hyperlink w:anchor="_Toc66354301">
            <w:r>
              <w:rPr>
                <w:webHidden/>
                <w:rStyle w:val="IndexLink"/>
                <w:rFonts w:cs="Arial" w:cstheme="minorHAnsi"/>
              </w:rPr>
              <w:t>16.</w:t>
            </w:r>
            <w:r>
              <w:rPr>
                <w:rStyle w:val="IndexLink"/>
                <w:rFonts w:eastAsia="" w:cs="" w:cstheme="minorBidi" w:eastAsiaTheme="minorEastAsia"/>
                <w:sz w:val="22"/>
                <w:szCs w:val="22"/>
              </w:rPr>
              <w:tab/>
            </w:r>
            <w:r>
              <w:rPr>
                <w:rStyle w:val="IndexLink"/>
              </w:rPr>
              <w:t>Compliance with Law and Policy</w:t>
            </w:r>
            <w:r>
              <w:rPr>
                <w:webHidden/>
              </w:rPr>
              <w:fldChar w:fldCharType="begin"/>
            </w:r>
            <w:r>
              <w:rPr>
                <w:webHidden/>
              </w:rPr>
              <w:instrText>PAGEREF _Toc66354301 \h</w:instrText>
            </w:r>
            <w:r>
              <w:rPr>
                <w:webHidden/>
              </w:rPr>
              <w:fldChar w:fldCharType="separate"/>
            </w:r>
            <w:r>
              <w:rPr>
                <w:rStyle w:val="IndexLink"/>
                <w:vanish w:val="false"/>
              </w:rPr>
              <w:tab/>
              <w:t>5</w:t>
            </w:r>
            <w:r>
              <w:rPr>
                <w:webHidden/>
              </w:rPr>
              <w:fldChar w:fldCharType="end"/>
            </w:r>
          </w:hyperlink>
        </w:p>
        <w:p>
          <w:pPr>
            <w:pStyle w:val="Contents1"/>
            <w:rPr>
              <w:rFonts w:eastAsia="" w:cs="" w:cstheme="minorBidi" w:eastAsiaTheme="minorEastAsia"/>
              <w:sz w:val="22"/>
              <w:szCs w:val="22"/>
            </w:rPr>
          </w:pPr>
          <w:hyperlink w:anchor="_Toc66354302">
            <w:r>
              <w:rPr>
                <w:webHidden/>
                <w:rStyle w:val="IndexLink"/>
                <w:rFonts w:cs="Arial" w:cstheme="minorHAnsi"/>
              </w:rPr>
              <w:t>17.</w:t>
            </w:r>
            <w:r>
              <w:rPr>
                <w:rStyle w:val="IndexLink"/>
                <w:rFonts w:eastAsia="" w:cs="" w:cstheme="minorBidi" w:eastAsiaTheme="minorEastAsia"/>
                <w:sz w:val="22"/>
                <w:szCs w:val="22"/>
              </w:rPr>
              <w:tab/>
            </w:r>
            <w:r>
              <w:rPr>
                <w:rStyle w:val="IndexLink"/>
              </w:rPr>
              <w:t>GST</w:t>
            </w:r>
            <w:r>
              <w:rPr>
                <w:webHidden/>
              </w:rPr>
              <w:fldChar w:fldCharType="begin"/>
            </w:r>
            <w:r>
              <w:rPr>
                <w:webHidden/>
              </w:rPr>
              <w:instrText>PAGEREF _Toc66354302 \h</w:instrText>
            </w:r>
            <w:r>
              <w:rPr>
                <w:webHidden/>
              </w:rPr>
              <w:fldChar w:fldCharType="separate"/>
            </w:r>
            <w:r>
              <w:rPr>
                <w:rStyle w:val="IndexLink"/>
                <w:vanish w:val="false"/>
              </w:rPr>
              <w:tab/>
              <w:t>5</w:t>
            </w:r>
            <w:r>
              <w:rPr>
                <w:webHidden/>
              </w:rPr>
              <w:fldChar w:fldCharType="end"/>
            </w:r>
          </w:hyperlink>
        </w:p>
        <w:p>
          <w:pPr>
            <w:pStyle w:val="Contents1"/>
            <w:rPr>
              <w:rFonts w:eastAsia="" w:cs="" w:cstheme="minorBidi" w:eastAsiaTheme="minorEastAsia"/>
              <w:sz w:val="22"/>
              <w:szCs w:val="22"/>
            </w:rPr>
          </w:pPr>
          <w:hyperlink w:anchor="_Toc66354303">
            <w:r>
              <w:rPr>
                <w:webHidden/>
                <w:rStyle w:val="IndexLink"/>
                <w:rFonts w:cs="Arial" w:cstheme="minorHAnsi"/>
              </w:rPr>
              <w:t>18.</w:t>
            </w:r>
            <w:r>
              <w:rPr>
                <w:rStyle w:val="IndexLink"/>
                <w:rFonts w:eastAsia="" w:cs="" w:cstheme="minorBidi" w:eastAsiaTheme="minorEastAsia"/>
                <w:sz w:val="22"/>
                <w:szCs w:val="22"/>
              </w:rPr>
              <w:tab/>
            </w:r>
            <w:r>
              <w:rPr>
                <w:rStyle w:val="IndexLink"/>
              </w:rPr>
              <w:t>Dispute Resolution</w:t>
            </w:r>
            <w:r>
              <w:rPr>
                <w:webHidden/>
              </w:rPr>
              <w:fldChar w:fldCharType="begin"/>
            </w:r>
            <w:r>
              <w:rPr>
                <w:webHidden/>
              </w:rPr>
              <w:instrText>PAGEREF _Toc66354303 \h</w:instrText>
            </w:r>
            <w:r>
              <w:rPr>
                <w:webHidden/>
              </w:rPr>
              <w:fldChar w:fldCharType="separate"/>
            </w:r>
            <w:r>
              <w:rPr>
                <w:rStyle w:val="IndexLink"/>
                <w:vanish w:val="false"/>
              </w:rPr>
              <w:tab/>
              <w:t>5</w:t>
            </w:r>
            <w:r>
              <w:rPr>
                <w:webHidden/>
              </w:rPr>
              <w:fldChar w:fldCharType="end"/>
            </w:r>
          </w:hyperlink>
        </w:p>
        <w:p>
          <w:pPr>
            <w:pStyle w:val="Contents1"/>
            <w:rPr>
              <w:rFonts w:eastAsia="" w:cs="" w:cstheme="minorBidi" w:eastAsiaTheme="minorEastAsia"/>
              <w:sz w:val="22"/>
              <w:szCs w:val="22"/>
            </w:rPr>
          </w:pPr>
          <w:hyperlink w:anchor="_Toc66354304">
            <w:r>
              <w:rPr>
                <w:webHidden/>
                <w:rStyle w:val="IndexLink"/>
                <w:rFonts w:cs="Arial" w:cstheme="minorHAnsi"/>
              </w:rPr>
              <w:t>19.</w:t>
            </w:r>
            <w:r>
              <w:rPr>
                <w:rStyle w:val="IndexLink"/>
                <w:rFonts w:eastAsia="" w:cs="" w:cstheme="minorBidi" w:eastAsiaTheme="minorEastAsia"/>
                <w:sz w:val="22"/>
                <w:szCs w:val="22"/>
              </w:rPr>
              <w:tab/>
            </w:r>
            <w:r>
              <w:rPr>
                <w:rStyle w:val="IndexLink"/>
              </w:rPr>
              <w:t>General</w:t>
            </w:r>
            <w:r>
              <w:rPr>
                <w:webHidden/>
              </w:rPr>
              <w:fldChar w:fldCharType="begin"/>
            </w:r>
            <w:r>
              <w:rPr>
                <w:webHidden/>
              </w:rPr>
              <w:instrText>PAGEREF _Toc66354304 \h</w:instrText>
            </w:r>
            <w:r>
              <w:rPr>
                <w:webHidden/>
              </w:rPr>
              <w:fldChar w:fldCharType="separate"/>
            </w:r>
            <w:r>
              <w:rPr>
                <w:rStyle w:val="IndexLink"/>
                <w:vanish w:val="false"/>
              </w:rPr>
              <w:tab/>
              <w:t>6</w:t>
            </w:r>
            <w:r>
              <w:rPr>
                <w:webHidden/>
              </w:rPr>
              <w:fldChar w:fldCharType="end"/>
            </w:r>
          </w:hyperlink>
        </w:p>
        <w:p>
          <w:pPr>
            <w:pStyle w:val="Contents1"/>
            <w:rPr>
              <w:rFonts w:eastAsia="" w:cs="" w:cstheme="minorBidi" w:eastAsiaTheme="minorEastAsia"/>
              <w:sz w:val="22"/>
              <w:szCs w:val="22"/>
            </w:rPr>
          </w:pPr>
          <w:hyperlink w:anchor="_Toc66354305">
            <w:r>
              <w:rPr>
                <w:webHidden/>
                <w:rStyle w:val="IndexLink"/>
                <w:rFonts w:cs="Arial" w:cstheme="minorHAnsi"/>
              </w:rPr>
              <w:t>20.</w:t>
            </w:r>
            <w:r>
              <w:rPr>
                <w:rStyle w:val="IndexLink"/>
                <w:rFonts w:eastAsia="" w:cs="" w:cstheme="minorBidi" w:eastAsiaTheme="minorEastAsia"/>
                <w:sz w:val="22"/>
                <w:szCs w:val="22"/>
              </w:rPr>
              <w:tab/>
            </w:r>
            <w:r>
              <w:rPr>
                <w:rStyle w:val="IndexLink"/>
              </w:rPr>
              <w:t>Entire Understanding and order for precedence</w:t>
            </w:r>
            <w:r>
              <w:rPr>
                <w:webHidden/>
              </w:rPr>
              <w:fldChar w:fldCharType="begin"/>
            </w:r>
            <w:r>
              <w:rPr>
                <w:webHidden/>
              </w:rPr>
              <w:instrText>PAGEREF _Toc66354305 \h</w:instrText>
            </w:r>
            <w:r>
              <w:rPr>
                <w:webHidden/>
              </w:rPr>
              <w:fldChar w:fldCharType="separate"/>
            </w:r>
            <w:r>
              <w:rPr>
                <w:rStyle w:val="IndexLink"/>
                <w:vanish w:val="false"/>
              </w:rPr>
              <w:tab/>
              <w:t>6</w:t>
            </w:r>
            <w:r>
              <w:rPr>
                <w:webHidden/>
              </w:rPr>
              <w:fldChar w:fldCharType="end"/>
            </w:r>
          </w:hyperlink>
        </w:p>
        <w:p>
          <w:pPr>
            <w:pStyle w:val="Contents1"/>
            <w:rPr>
              <w:rFonts w:eastAsia="" w:cs="" w:cstheme="minorBidi" w:eastAsiaTheme="minorEastAsia"/>
              <w:sz w:val="22"/>
              <w:szCs w:val="22"/>
            </w:rPr>
          </w:pPr>
          <w:hyperlink w:anchor="_Toc66354306">
            <w:r>
              <w:rPr>
                <w:webHidden/>
                <w:rStyle w:val="IndexLink"/>
                <w:rFonts w:cs="Arial" w:cstheme="minorHAnsi"/>
              </w:rPr>
              <w:t>21.</w:t>
            </w:r>
            <w:r>
              <w:rPr>
                <w:rStyle w:val="IndexLink"/>
                <w:rFonts w:eastAsia="" w:cs="" w:cstheme="minorBidi" w:eastAsiaTheme="minorEastAsia"/>
                <w:sz w:val="22"/>
                <w:szCs w:val="22"/>
              </w:rPr>
              <w:tab/>
            </w:r>
            <w:r>
              <w:rPr>
                <w:rStyle w:val="IndexLink"/>
              </w:rPr>
              <w:t>Survival</w:t>
            </w:r>
            <w:r>
              <w:rPr>
                <w:webHidden/>
              </w:rPr>
              <w:fldChar w:fldCharType="begin"/>
            </w:r>
            <w:r>
              <w:rPr>
                <w:webHidden/>
              </w:rPr>
              <w:instrText>PAGEREF _Toc66354306 \h</w:instrText>
            </w:r>
            <w:r>
              <w:rPr>
                <w:webHidden/>
              </w:rPr>
              <w:fldChar w:fldCharType="separate"/>
            </w:r>
            <w:r>
              <w:rPr>
                <w:rStyle w:val="IndexLink"/>
                <w:vanish w:val="false"/>
              </w:rPr>
              <w:tab/>
              <w:t>7</w:t>
            </w:r>
            <w:r>
              <w:rPr>
                <w:webHidden/>
              </w:rPr>
              <w:fldChar w:fldCharType="end"/>
            </w:r>
          </w:hyperlink>
        </w:p>
        <w:p>
          <w:pPr>
            <w:pStyle w:val="Contents1"/>
            <w:rPr>
              <w:rFonts w:eastAsia="" w:cs="" w:cstheme="minorBidi" w:eastAsiaTheme="minorEastAsia"/>
              <w:sz w:val="22"/>
              <w:szCs w:val="22"/>
            </w:rPr>
          </w:pPr>
          <w:hyperlink w:anchor="_Toc66354307">
            <w:r>
              <w:rPr>
                <w:webHidden/>
                <w:rStyle w:val="IndexLink"/>
                <w:rFonts w:cs="Arial" w:cstheme="minorHAnsi"/>
              </w:rPr>
              <w:t>22.</w:t>
            </w:r>
            <w:r>
              <w:rPr>
                <w:rStyle w:val="IndexLink"/>
                <w:rFonts w:eastAsia="" w:cs="" w:cstheme="minorBidi" w:eastAsiaTheme="minorEastAsia"/>
                <w:sz w:val="22"/>
                <w:szCs w:val="22"/>
              </w:rPr>
              <w:tab/>
            </w:r>
            <w:r>
              <w:rPr>
                <w:rStyle w:val="IndexLink"/>
              </w:rPr>
              <w:t>Definitions</w:t>
            </w:r>
            <w:r>
              <w:rPr>
                <w:webHidden/>
              </w:rPr>
              <w:fldChar w:fldCharType="begin"/>
            </w:r>
            <w:r>
              <w:rPr>
                <w:webHidden/>
              </w:rPr>
              <w:instrText>PAGEREF _Toc66354307 \h</w:instrText>
            </w:r>
            <w:r>
              <w:rPr>
                <w:webHidden/>
              </w:rPr>
              <w:fldChar w:fldCharType="separate"/>
            </w:r>
            <w:r>
              <w:rPr>
                <w:rStyle w:val="IndexLink"/>
                <w:vanish w:val="false"/>
              </w:rPr>
              <w:tab/>
              <w:t>7</w:t>
            </w:r>
            <w:r>
              <w:rPr>
                <w:webHidden/>
              </w:rPr>
              <w:fldChar w:fldCharType="end"/>
            </w:r>
          </w:hyperlink>
        </w:p>
        <w:p>
          <w:pPr>
            <w:pStyle w:val="Contents1"/>
            <w:rPr>
              <w:rFonts w:eastAsia="" w:cs="" w:cstheme="minorBidi" w:eastAsiaTheme="minorEastAsia"/>
              <w:sz w:val="22"/>
              <w:szCs w:val="22"/>
            </w:rPr>
          </w:pPr>
          <w:hyperlink w:anchor="_Toc66354308">
            <w:r>
              <w:rPr>
                <w:webHidden/>
                <w:rStyle w:val="IndexLink"/>
                <w:rFonts w:cs="Arial" w:cstheme="minorHAnsi"/>
              </w:rPr>
              <w:t>23.</w:t>
            </w:r>
            <w:r>
              <w:rPr>
                <w:rStyle w:val="IndexLink"/>
                <w:rFonts w:eastAsia="" w:cs="" w:cstheme="minorBidi" w:eastAsiaTheme="minorEastAsia"/>
                <w:sz w:val="22"/>
                <w:szCs w:val="22"/>
              </w:rPr>
              <w:tab/>
            </w:r>
            <w:r>
              <w:rPr>
                <w:rStyle w:val="IndexLink"/>
              </w:rPr>
              <w:t>Interpretation</w:t>
            </w:r>
            <w:r>
              <w:rPr>
                <w:webHidden/>
              </w:rPr>
              <w:fldChar w:fldCharType="begin"/>
            </w:r>
            <w:r>
              <w:rPr>
                <w:webHidden/>
              </w:rPr>
              <w:instrText>PAGEREF _Toc66354308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Normal"/>
        <w:widowControl/>
        <w:bidi w:val="0"/>
        <w:spacing w:lineRule="auto" w:line="264" w:before="100" w:after="100"/>
        <w:jc w:val="left"/>
        <w:rPr>
          <w:rFonts w:ascii="Arial" w:hAnsi="Arial" w:asciiTheme="minorHAnsi" w:hAnsiTheme="minorHAnsi"/>
          <w:sz w:val="22"/>
          <w:szCs w:val="22"/>
        </w:rPr>
      </w:pPr>
      <w:r>
        <w:rPr>
          <w:rFonts w:asciiTheme="minorHAnsi" w:hAnsiTheme="minorHAnsi"/>
          <w:sz w:val="22"/>
          <w:szCs w:val="22"/>
        </w:rPr>
      </w:r>
    </w:p>
    <w:p>
      <w:pPr>
        <w:sectPr>
          <w:headerReference w:type="default" r:id="rId4"/>
          <w:footerReference w:type="default" r:id="rId5"/>
          <w:type w:val="nextPage"/>
          <w:pgSz w:w="11906" w:h="16838"/>
          <w:pgMar w:left="1152" w:right="1152" w:header="461" w:top="1440" w:footer="288" w:bottom="1152" w:gutter="0"/>
          <w:pgNumType w:start="1" w:fmt="decimal"/>
          <w:formProt w:val="false"/>
          <w:textDirection w:val="lrTb"/>
          <w:docGrid w:type="default" w:linePitch="360" w:charSpace="0"/>
        </w:sectPr>
        <w:pStyle w:val="Normal"/>
        <w:rPr/>
      </w:pPr>
      <w:r>
        <w:rPr/>
      </w:r>
    </w:p>
    <w:p>
      <w:pPr>
        <w:pStyle w:val="Heading1"/>
        <w:rPr/>
      </w:pPr>
      <w:bookmarkStart w:id="0" w:name="_Toc464631648"/>
      <w:bookmarkStart w:id="1" w:name="_Toc491939267"/>
      <w:bookmarkStart w:id="2" w:name="_Toc473824529"/>
      <w:bookmarkStart w:id="3" w:name="_Ref487647669"/>
      <w:bookmarkEnd w:id="3"/>
      <w:r>
        <w:rPr/>
        <w:t xml:space="preserve">General conditions for the </w:t>
      </w:r>
      <w:bookmarkEnd w:id="2"/>
      <w:r>
        <w:rPr/>
        <w:t>provision of Services</w:t>
      </w:r>
      <w:bookmarkEnd w:id="1"/>
    </w:p>
    <w:p>
      <w:pPr>
        <w:sectPr>
          <w:headerReference w:type="default" r:id="rId6"/>
          <w:footerReference w:type="default" r:id="rId7"/>
          <w:type w:val="nextPage"/>
          <w:pgSz w:w="11906" w:h="16838"/>
          <w:pgMar w:left="1008" w:right="1008" w:header="461" w:top="1440" w:footer="288" w:bottom="1152" w:gutter="0"/>
          <w:pgNumType w:start="1" w:fmt="decimal"/>
          <w:formProt w:val="false"/>
          <w:textDirection w:val="lrTb"/>
          <w:docGrid w:type="default" w:linePitch="360" w:charSpace="0"/>
        </w:sectPr>
      </w:pPr>
    </w:p>
    <w:p>
      <w:pPr>
        <w:pStyle w:val="ClauseHeading1"/>
        <w:numPr>
          <w:ilvl w:val="0"/>
          <w:numId w:val="1"/>
        </w:numPr>
        <w:rPr/>
      </w:pPr>
      <w:bookmarkStart w:id="4" w:name="_Toc66354286"/>
      <w:bookmarkStart w:id="5" w:name="_Toc491939268"/>
      <w:bookmarkStart w:id="6" w:name="_Ref487558618"/>
      <w:r>
        <w:rPr/>
        <w:t>Term of Agreement</w:t>
      </w:r>
      <w:bookmarkEnd w:id="4"/>
      <w:bookmarkEnd w:id="5"/>
      <w:bookmarkEnd w:id="6"/>
    </w:p>
    <w:p>
      <w:pPr>
        <w:pStyle w:val="ClauseIndent1"/>
        <w:numPr>
          <w:ilvl w:val="2"/>
          <w:numId w:val="1"/>
        </w:numPr>
        <w:rPr/>
      </w:pPr>
      <w:r>
        <w:rPr/>
        <w:t>The Agreement begins on the Commencement Date and continues until the Completion Date, unless extended in accordance with clause </w:t>
      </w:r>
      <w:r>
        <w:rPr/>
        <w:fldChar w:fldCharType="begin"/>
      </w:r>
      <w:r>
        <w:rPr/>
        <w:instrText> REF _Ref469584006 \w \h </w:instrText>
      </w:r>
      <w:r>
        <w:rPr/>
        <w:fldChar w:fldCharType="separate"/>
      </w:r>
      <w:r>
        <w:rPr/>
        <w:t>1(b)</w:t>
      </w:r>
      <w:r>
        <w:rPr/>
        <w:fldChar w:fldCharType="end"/>
      </w:r>
      <w:r>
        <w:rPr/>
        <w:t xml:space="preserve"> or terminated earlier in accordance with these terms. If no Completion Date is specified, the Agreement will come to an end when all Services have been completed and all payments required to be made under the Agreement have been made. </w:t>
      </w:r>
    </w:p>
    <w:p>
      <w:pPr>
        <w:pStyle w:val="ClauseIndent1"/>
        <w:numPr>
          <w:ilvl w:val="2"/>
          <w:numId w:val="1"/>
        </w:numPr>
        <w:rPr>
          <w:szCs w:val="20"/>
          <w:u w:val="double"/>
        </w:rPr>
      </w:pPr>
      <w:bookmarkStart w:id="7" w:name="_Ref469584006"/>
      <w:bookmarkStart w:id="8" w:name="_Ref487647670"/>
      <w:bookmarkEnd w:id="7"/>
      <w:r>
        <w:rPr/>
        <w:t>A party may, by the provision of notice in writing, request the Agreement be extended beyond the Completion Date. The Agreement may only be extended for the period or periods as agreed to by the parties in writing.</w:t>
      </w:r>
      <w:bookmarkEnd w:id="8"/>
    </w:p>
    <w:p>
      <w:pPr>
        <w:pStyle w:val="ClauseHeading1"/>
        <w:numPr>
          <w:ilvl w:val="0"/>
          <w:numId w:val="1"/>
        </w:numPr>
        <w:rPr/>
      </w:pPr>
      <w:bookmarkStart w:id="9" w:name="_Toc464631648"/>
      <w:bookmarkStart w:id="10" w:name="_Ref469584006"/>
      <w:bookmarkStart w:id="11" w:name="_Toc66354287"/>
      <w:bookmarkStart w:id="12" w:name="_Toc491939269"/>
      <w:bookmarkEnd w:id="10"/>
      <w:r>
        <w:rPr/>
        <w:t>Provision of Services</w:t>
      </w:r>
      <w:bookmarkEnd w:id="9"/>
      <w:bookmarkEnd w:id="11"/>
      <w:bookmarkEnd w:id="12"/>
    </w:p>
    <w:p>
      <w:pPr>
        <w:pStyle w:val="ClauseIndent1"/>
        <w:numPr>
          <w:ilvl w:val="2"/>
          <w:numId w:val="1"/>
        </w:numPr>
        <w:rPr/>
      </w:pPr>
      <w:r>
        <w:rPr/>
        <w:t>The Supplier must provide the Services to the Organisation in accordance with this Agreement and any reasonable directions given by the Organisation from time to time.</w:t>
      </w:r>
    </w:p>
    <w:p>
      <w:pPr>
        <w:pStyle w:val="ClauseIndent1"/>
        <w:numPr>
          <w:ilvl w:val="2"/>
          <w:numId w:val="1"/>
        </w:numPr>
        <w:rPr/>
      </w:pPr>
      <w:bookmarkStart w:id="13" w:name="_Ref487548877"/>
      <w:r>
        <w:rPr/>
        <w:t>The Supplier must:</w:t>
      </w:r>
      <w:bookmarkEnd w:id="13"/>
    </w:p>
    <w:p>
      <w:pPr>
        <w:pStyle w:val="ClauseIndent2"/>
        <w:numPr>
          <w:ilvl w:val="3"/>
          <w:numId w:val="1"/>
        </w:numPr>
        <w:rPr/>
      </w:pPr>
      <w:r>
        <w:rPr/>
        <w:t xml:space="preserve">complete the Services by the Completion Date and any other date(s) for delivery of the Services specified in the Purchase Order; </w:t>
      </w:r>
    </w:p>
    <w:p>
      <w:pPr>
        <w:pStyle w:val="ClauseIndent2"/>
        <w:numPr>
          <w:ilvl w:val="3"/>
          <w:numId w:val="1"/>
        </w:numPr>
        <w:rPr/>
      </w:pPr>
      <w:r>
        <w:rPr/>
        <w:t>promptly notify the Organisation as soon as it becomes aware of any delay or possible delay in the supply of the Services in accordance with the Agreement;</w:t>
      </w:r>
    </w:p>
    <w:p>
      <w:pPr>
        <w:pStyle w:val="ClauseIndent2"/>
        <w:numPr>
          <w:ilvl w:val="3"/>
          <w:numId w:val="1"/>
        </w:numPr>
        <w:rPr/>
      </w:pPr>
      <w:r>
        <w:rPr>
          <w:szCs w:val="18"/>
        </w:rPr>
        <w:t xml:space="preserve">provide fit for purpose Services in a timely and </w:t>
      </w:r>
      <w:r>
        <w:rPr/>
        <w:t>efficient manner using the standard of care, skill, diligence, prudence and foresight that would reasonably be expected from a prudent, expert and experienced provider of services that are similar to the Services; and</w:t>
      </w:r>
    </w:p>
    <w:p>
      <w:pPr>
        <w:pStyle w:val="ClauseIndent2"/>
        <w:numPr>
          <w:ilvl w:val="3"/>
          <w:numId w:val="1"/>
        </w:numPr>
        <w:rPr/>
      </w:pPr>
      <w:r>
        <w:rPr/>
        <w:t>use appropriately skilled and qualified Personnel to provide the Services.</w:t>
      </w:r>
    </w:p>
    <w:p>
      <w:pPr>
        <w:pStyle w:val="ClauseIndent1"/>
        <w:numPr>
          <w:ilvl w:val="2"/>
          <w:numId w:val="1"/>
        </w:numPr>
        <w:rPr/>
      </w:pPr>
      <w:bookmarkStart w:id="14" w:name="_Ref358822911"/>
      <w:bookmarkStart w:id="15" w:name="_Ref481769612"/>
      <w:r>
        <w:rPr/>
        <w:t>After performance of the Services or delivery of any deliverable provided as part of the Services, the Organisation will undertake such reviews as it considers necessary to determine whether the Services or deliverable(s) are fit for purpose and comply with this Agreement. After reviewing the Services or deliverable(s), the Organisation may notify the Supplier in writing:</w:t>
      </w:r>
      <w:bookmarkEnd w:id="14"/>
      <w:bookmarkEnd w:id="15"/>
    </w:p>
    <w:p>
      <w:pPr>
        <w:pStyle w:val="ClauseIndent2"/>
        <w:keepLines/>
        <w:numPr>
          <w:ilvl w:val="3"/>
          <w:numId w:val="1"/>
        </w:numPr>
        <w:rPr/>
      </w:pPr>
      <w:bookmarkStart w:id="16" w:name="_Ref358822844"/>
      <w:r>
        <w:rPr/>
        <w:t>of its acceptance of the Services or deliverable(s) if it is satisfied that the Services or deliverable(s) are fit for purpose and comply with this Agreement; or</w:t>
      </w:r>
      <w:bookmarkEnd w:id="16"/>
    </w:p>
    <w:p>
      <w:pPr>
        <w:pStyle w:val="ClauseIndent2"/>
        <w:numPr>
          <w:ilvl w:val="3"/>
          <w:numId w:val="1"/>
        </w:numPr>
        <w:rPr/>
      </w:pPr>
      <w:bookmarkStart w:id="17" w:name="_Ref358822893"/>
      <w:bookmarkStart w:id="18" w:name="_Ref481769632"/>
      <w:r>
        <w:rPr/>
        <w:t xml:space="preserve">if the Services or deliverable(s) are not fit for purpose or do not comply with this Agreement, in which case clause </w:t>
      </w:r>
      <w:r>
        <w:rPr/>
        <w:fldChar w:fldCharType="begin"/>
      </w:r>
      <w:r>
        <w:rPr/>
        <w:instrText> REF _Ref469486678 \w \h </w:instrText>
      </w:r>
      <w:r>
        <w:rPr/>
        <w:fldChar w:fldCharType="separate"/>
      </w:r>
      <w:r>
        <w:rPr/>
        <w:t>2(d)</w:t>
      </w:r>
      <w:r>
        <w:rPr/>
        <w:fldChar w:fldCharType="end"/>
      </w:r>
      <w:r>
        <w:rPr/>
        <w:t xml:space="preserve"> will apply.</w:t>
      </w:r>
      <w:bookmarkEnd w:id="18"/>
      <w:r>
        <w:rPr/>
        <w:t xml:space="preserve"> </w:t>
      </w:r>
    </w:p>
    <w:p>
      <w:pPr>
        <w:pStyle w:val="ClauseIndent1"/>
        <w:numPr>
          <w:ilvl w:val="2"/>
          <w:numId w:val="1"/>
        </w:numPr>
        <w:rPr/>
      </w:pPr>
      <w:bookmarkStart w:id="19" w:name="_Ref469486678"/>
      <w:r>
        <w:rPr/>
        <w:t xml:space="preserve">If the Organisation notifies the Supplier that the Services or deliverable(s) are not fit for purpose or do not comply with this Agreement, the Supplier must promptly rectify the non-compliance following which the Organisation will undertake further review of the Services or deliverable(s) under clause </w:t>
      </w:r>
      <w:r>
        <w:rPr/>
        <w:fldChar w:fldCharType="begin"/>
      </w:r>
      <w:r>
        <w:rPr/>
        <w:instrText> REF _Ref481769612 \w \h </w:instrText>
      </w:r>
      <w:r>
        <w:rPr/>
        <w:fldChar w:fldCharType="separate"/>
      </w:r>
      <w:r>
        <w:rPr/>
        <w:t>2(c)</w:t>
      </w:r>
      <w:r>
        <w:rPr/>
        <w:fldChar w:fldCharType="end"/>
      </w:r>
      <w:r>
        <w:rPr/>
        <w:t>. This process will continue until, at the Organisation's discretion, the Organisation:</w:t>
      </w:r>
      <w:bookmarkEnd w:id="17"/>
      <w:bookmarkEnd w:id="19"/>
    </w:p>
    <w:p>
      <w:pPr>
        <w:pStyle w:val="ClauseIndent2"/>
        <w:numPr>
          <w:ilvl w:val="3"/>
          <w:numId w:val="1"/>
        </w:numPr>
        <w:rPr/>
      </w:pPr>
      <w:r>
        <w:rPr/>
        <w:t>waives, in writing, the requirement for the Services or deliverable(s) to comply with this Agreement;</w:t>
      </w:r>
    </w:p>
    <w:p>
      <w:pPr>
        <w:pStyle w:val="ClauseIndent2"/>
        <w:numPr>
          <w:ilvl w:val="3"/>
          <w:numId w:val="1"/>
        </w:numPr>
        <w:rPr/>
      </w:pPr>
      <w:r>
        <w:rPr/>
        <w:t>is satisfied that the Services or deliverable comply with this Agreement and accepts the Services or deliverable(s) in accordance with clause </w:t>
      </w:r>
      <w:r>
        <w:rPr/>
        <w:fldChar w:fldCharType="begin"/>
      </w:r>
      <w:r>
        <w:rPr/>
        <w:instrText> REF _Ref358822844 \w \h </w:instrText>
      </w:r>
      <w:r>
        <w:rPr/>
        <w:fldChar w:fldCharType="separate"/>
      </w:r>
      <w:r>
        <w:rPr/>
        <w:t>2(c)(i)</w:t>
      </w:r>
      <w:r>
        <w:rPr/>
        <w:fldChar w:fldCharType="end"/>
      </w:r>
      <w:r>
        <w:rPr/>
        <w:t xml:space="preserve">; </w:t>
      </w:r>
    </w:p>
    <w:p>
      <w:pPr>
        <w:pStyle w:val="ClauseIndent2"/>
        <w:numPr>
          <w:ilvl w:val="3"/>
          <w:numId w:val="1"/>
        </w:numPr>
        <w:rPr/>
      </w:pPr>
      <w:r>
        <w:rPr/>
        <w:t>conditionally accepts the Services or deliverable(s), subject to the Supplier agreeing to rectify the non-compliance within a reasonable timeframe and on such terms as the Organisation specifies; or</w:t>
      </w:r>
    </w:p>
    <w:p>
      <w:pPr>
        <w:pStyle w:val="ClauseIndent2"/>
        <w:numPr>
          <w:ilvl w:val="3"/>
          <w:numId w:val="1"/>
        </w:numPr>
        <w:rPr/>
      </w:pPr>
      <w:bookmarkStart w:id="20" w:name="_Ref465073054"/>
      <w:r>
        <w:rPr/>
        <w:t xml:space="preserve">subject to the Organisation having provided the Supplier with at least two opportunities to rectify the non-compliance under clause </w:t>
      </w:r>
      <w:r>
        <w:rPr/>
        <w:fldChar w:fldCharType="begin"/>
      </w:r>
      <w:r>
        <w:rPr/>
        <w:instrText> REF _Ref481769632 \w \h </w:instrText>
      </w:r>
      <w:r>
        <w:rPr/>
        <w:fldChar w:fldCharType="separate"/>
      </w:r>
      <w:r>
        <w:rPr/>
        <w:t>2(c)(ii)</w:t>
      </w:r>
      <w:r>
        <w:rPr/>
        <w:fldChar w:fldCharType="end"/>
      </w:r>
      <w:r>
        <w:rPr/>
        <w:t xml:space="preserve">, immediately terminate this Agreement by written notice to the Supplier. </w:t>
      </w:r>
    </w:p>
    <w:p>
      <w:pPr>
        <w:pStyle w:val="ClauseIndent2"/>
        <w:numPr>
          <w:ilvl w:val="0"/>
          <w:numId w:val="0"/>
        </w:numPr>
        <w:ind w:left="936" w:hanging="0"/>
        <w:rPr/>
      </w:pPr>
      <w:r>
        <w:rPr/>
        <w:t xml:space="preserve">If the Organisation terminates this Agreement under this clause </w:t>
      </w:r>
      <w:r>
        <w:rPr/>
        <w:fldChar w:fldCharType="begin"/>
      </w:r>
      <w:r>
        <w:rPr/>
        <w:instrText> REF _Ref465073054 \w \h </w:instrText>
      </w:r>
      <w:r>
        <w:rPr/>
        <w:fldChar w:fldCharType="separate"/>
      </w:r>
      <w:r>
        <w:rPr/>
        <w:t>2(d)(iv)</w:t>
      </w:r>
      <w:r>
        <w:rPr/>
        <w:fldChar w:fldCharType="end"/>
      </w:r>
      <w:r>
        <w:rPr/>
        <w:t>, the Organisation will be entitled to a full refund of all moneys paid to the Supplier in respect of the Services or deliverables which the Organisation is unable to use following termination.</w:t>
      </w:r>
      <w:bookmarkEnd w:id="20"/>
    </w:p>
    <w:p>
      <w:pPr>
        <w:pStyle w:val="ClauseHeading1"/>
        <w:numPr>
          <w:ilvl w:val="0"/>
          <w:numId w:val="1"/>
        </w:numPr>
        <w:rPr/>
      </w:pPr>
      <w:bookmarkStart w:id="21" w:name="_Toc66354288"/>
      <w:bookmarkStart w:id="22" w:name="_Toc491939270"/>
      <w:bookmarkStart w:id="23" w:name="_Ref487636481"/>
      <w:bookmarkStart w:id="24" w:name="_Toc464631649"/>
      <w:r>
        <w:rPr/>
        <w:t>Price for the Services</w:t>
      </w:r>
      <w:bookmarkEnd w:id="21"/>
      <w:bookmarkEnd w:id="22"/>
      <w:bookmarkEnd w:id="23"/>
      <w:bookmarkEnd w:id="24"/>
    </w:p>
    <w:p>
      <w:pPr>
        <w:pStyle w:val="ClauseIndent1"/>
        <w:numPr>
          <w:ilvl w:val="2"/>
          <w:numId w:val="1"/>
        </w:numPr>
        <w:rPr/>
      </w:pPr>
      <w:r>
        <w:rPr/>
        <w:t>The Rates and Fees payable for the Services are fixed, and inclusive of all taxes (excluding GST), for the duration of the Agreement.</w:t>
      </w:r>
    </w:p>
    <w:p>
      <w:pPr>
        <w:pStyle w:val="ClauseIndent1"/>
        <w:numPr>
          <w:ilvl w:val="2"/>
          <w:numId w:val="1"/>
        </w:numPr>
        <w:rPr/>
      </w:pPr>
      <w:r>
        <w:rPr/>
        <w:t>The Supplier may not charge the Organisation for any additional fees or charges, or recover any expenses or other costs from the Organisation.</w:t>
      </w:r>
    </w:p>
    <w:p>
      <w:pPr>
        <w:pStyle w:val="ClauseHeading1"/>
        <w:numPr>
          <w:ilvl w:val="0"/>
          <w:numId w:val="1"/>
        </w:numPr>
        <w:rPr/>
      </w:pPr>
      <w:bookmarkStart w:id="25" w:name="_Toc66354289"/>
      <w:bookmarkStart w:id="26" w:name="_Toc491939271"/>
      <w:bookmarkStart w:id="27" w:name="_Ref487636482"/>
      <w:bookmarkStart w:id="28" w:name="_Ref487558651"/>
      <w:bookmarkStart w:id="29" w:name="_Ref487558635"/>
      <w:bookmarkStart w:id="30" w:name="_Toc464631651"/>
      <w:r>
        <w:rPr/>
        <w:t>Invoicing and payment</w:t>
      </w:r>
      <w:bookmarkEnd w:id="25"/>
      <w:bookmarkEnd w:id="26"/>
      <w:bookmarkEnd w:id="27"/>
      <w:bookmarkEnd w:id="28"/>
      <w:bookmarkEnd w:id="29"/>
      <w:bookmarkEnd w:id="30"/>
    </w:p>
    <w:p>
      <w:pPr>
        <w:pStyle w:val="ClauseIndent1"/>
        <w:numPr>
          <w:ilvl w:val="2"/>
          <w:numId w:val="1"/>
        </w:numPr>
        <w:rPr/>
      </w:pPr>
      <w:r>
        <w:rPr/>
        <w:t>Upon completion of the Services, or as otherwise specified in the Purchase Order, the Supplier must submit an invoice to the Organisation at the address specified in the Purchase Order. Each invoice submitted by the Supplier must contain all information required in a tax invoice for the purposes of the GST Act, together with such other information as the Organisation may reasonably require.</w:t>
      </w:r>
    </w:p>
    <w:p>
      <w:pPr>
        <w:pStyle w:val="ClauseIndent1"/>
        <w:numPr>
          <w:ilvl w:val="2"/>
          <w:numId w:val="1"/>
        </w:numPr>
        <w:rPr/>
      </w:pPr>
      <w:r>
        <w:rPr/>
        <w:t xml:space="preserve">On or following acceptance of the Services, the Organisation will pay the invoiced amount, less any amount required by Law, within 30 days of receipt of an accurate invoice. If the Organisation disputes the invoiced amount, it must pay the undisputed amount (if any) and notify the Supplier of the amount in dispute. The parties will endeavour to resolve any such dispute in accordance with clause </w:t>
      </w:r>
      <w:r>
        <w:rPr/>
        <w:fldChar w:fldCharType="begin"/>
      </w:r>
      <w:r>
        <w:rPr/>
        <w:instrText> REF _Ref487703947 \r \h </w:instrText>
      </w:r>
      <w:r>
        <w:rPr/>
        <w:fldChar w:fldCharType="separate"/>
      </w:r>
      <w:r>
        <w:rPr/>
        <w:t>18</w:t>
      </w:r>
      <w:r>
        <w:rPr/>
        <w:fldChar w:fldCharType="end"/>
      </w:r>
      <w:r>
        <w:rPr/>
        <w:t>.</w:t>
      </w:r>
    </w:p>
    <w:p>
      <w:pPr>
        <w:pStyle w:val="ClauseIndent1"/>
        <w:numPr>
          <w:ilvl w:val="2"/>
          <w:numId w:val="1"/>
        </w:numPr>
        <w:rPr/>
      </w:pPr>
      <w:r>
        <w:rPr/>
        <w:t>Payment of an invoice is not to be taken as evidence that the Services have been supplied in accordance with the Agreement but must be taken only as payment on account.</w:t>
      </w:r>
    </w:p>
    <w:p>
      <w:pPr>
        <w:pStyle w:val="ClauseIndent1"/>
        <w:numPr>
          <w:ilvl w:val="2"/>
          <w:numId w:val="1"/>
        </w:numPr>
        <w:rPr/>
      </w:pPr>
      <w:r>
        <w:rPr/>
        <w:t xml:space="preserve">Simple interest, as at the penalty interest rate fixed for the time being under the </w:t>
      </w:r>
      <w:r>
        <w:rPr>
          <w:i/>
        </w:rPr>
        <w:t>Penalty Interest Rates Act 1983 (Vic)</w:t>
      </w:r>
      <w:r>
        <w:rPr/>
        <w:t>, accrues on a daily basis on any Overdue Amount and is payable by the Organisation to the Supplier on demand.</w:t>
      </w:r>
    </w:p>
    <w:p>
      <w:pPr>
        <w:pStyle w:val="ClauseHeading1"/>
        <w:numPr>
          <w:ilvl w:val="0"/>
          <w:numId w:val="1"/>
        </w:numPr>
        <w:rPr/>
      </w:pPr>
      <w:bookmarkStart w:id="31" w:name="_Toc491939272"/>
      <w:bookmarkStart w:id="32" w:name="_Ref465429126"/>
      <w:bookmarkStart w:id="33" w:name="_Ref465427591"/>
      <w:bookmarkStart w:id="34" w:name="_Toc464631652"/>
      <w:bookmarkStart w:id="35" w:name="_Toc66354290"/>
      <w:r>
        <w:rPr/>
        <w:t>Fair Payments Policy</w:t>
      </w:r>
      <w:bookmarkEnd w:id="35"/>
    </w:p>
    <w:p>
      <w:pPr>
        <w:pStyle w:val="ClauseIndent1"/>
        <w:numPr>
          <w:ilvl w:val="2"/>
          <w:numId w:val="1"/>
        </w:numPr>
        <w:rPr/>
      </w:pPr>
      <w:r>
        <w:rPr/>
        <w:t>This clause 5 applies only if the total aggregate Fees payable under this Agreement is less than $3 million.</w:t>
      </w:r>
    </w:p>
    <w:p>
      <w:pPr>
        <w:pStyle w:val="ClauseIndent1"/>
        <w:numPr>
          <w:ilvl w:val="2"/>
          <w:numId w:val="1"/>
        </w:numPr>
        <w:rPr/>
      </w:pPr>
      <w:r>
        <w:rPr/>
        <w:t>If this clause 5 applies, the reference in clause 4(b) is taken to be a reference to 10 Business Days.</w:t>
      </w:r>
    </w:p>
    <w:p>
      <w:pPr>
        <w:pStyle w:val="ClauseIndent1"/>
        <w:numPr>
          <w:ilvl w:val="2"/>
          <w:numId w:val="1"/>
        </w:numPr>
        <w:rPr/>
      </w:pPr>
      <w:r>
        <w:rPr/>
        <w:t>Simple interest payable under clause 4(d) in respect of an Overdue Amount does not become payable after 10 Business Days, but only after 30 days from the date of receipt of a correct invoice, in respect of any Overdue Amount payable before 1 April 2021.</w:t>
      </w:r>
    </w:p>
    <w:p>
      <w:pPr>
        <w:pStyle w:val="ClauseHeading1"/>
        <w:numPr>
          <w:ilvl w:val="0"/>
          <w:numId w:val="1"/>
        </w:numPr>
        <w:rPr/>
      </w:pPr>
      <w:bookmarkStart w:id="36" w:name="_Toc491939272"/>
      <w:bookmarkStart w:id="37" w:name="_Ref465429126"/>
      <w:bookmarkStart w:id="38" w:name="_Ref465427591"/>
      <w:bookmarkStart w:id="39" w:name="_Toc464631652"/>
      <w:bookmarkStart w:id="40" w:name="_Toc66354291"/>
      <w:r>
        <w:rPr/>
        <w:t>Failure to perform</w:t>
      </w:r>
      <w:bookmarkEnd w:id="36"/>
      <w:bookmarkEnd w:id="37"/>
      <w:bookmarkEnd w:id="38"/>
      <w:bookmarkEnd w:id="39"/>
      <w:bookmarkEnd w:id="40"/>
    </w:p>
    <w:p>
      <w:pPr>
        <w:pStyle w:val="ClauseIndent1"/>
        <w:numPr>
          <w:ilvl w:val="2"/>
          <w:numId w:val="1"/>
        </w:numPr>
        <w:rPr/>
      </w:pPr>
      <w:bookmarkStart w:id="41" w:name="_Ref465427524"/>
      <w:r>
        <w:rPr/>
        <w:t>If the Supplier fails to perform any Services or deliver any deliverable(s) in accordance with this Agreement the Organisation:</w:t>
      </w:r>
      <w:bookmarkEnd w:id="41"/>
    </w:p>
    <w:p>
      <w:pPr>
        <w:pStyle w:val="ClauseIndent2"/>
        <w:numPr>
          <w:ilvl w:val="3"/>
          <w:numId w:val="1"/>
        </w:numPr>
        <w:rPr/>
      </w:pPr>
      <w:r>
        <w:rPr/>
        <w:t>will not be required to pay for those Services or deliverable(s) until they are provided in accordance with the Agreement; and</w:t>
      </w:r>
    </w:p>
    <w:p>
      <w:pPr>
        <w:pStyle w:val="ClauseIndent2"/>
        <w:numPr>
          <w:ilvl w:val="3"/>
          <w:numId w:val="1"/>
        </w:numPr>
        <w:rPr>
          <w:szCs w:val="18"/>
        </w:rPr>
      </w:pPr>
      <w:bookmarkStart w:id="42" w:name="_Ref465427550"/>
      <w:r>
        <w:rPr/>
        <w:t>may issue a notice to the Supplier requiring the Supplier to remedy any default or re-perform the Services or deliverable(s)</w:t>
      </w:r>
      <w:r>
        <w:rPr>
          <w:szCs w:val="18"/>
        </w:rPr>
        <w:t xml:space="preserve"> within the time specified by the Organisation (</w:t>
      </w:r>
      <w:r>
        <w:rPr/>
        <w:t>which time must be reasonable having regard to the nature of the relevant Services or deliverable(s)</w:t>
      </w:r>
      <w:r>
        <w:rPr>
          <w:szCs w:val="18"/>
        </w:rPr>
        <w:t>).</w:t>
      </w:r>
      <w:bookmarkEnd w:id="42"/>
    </w:p>
    <w:p>
      <w:pPr>
        <w:pStyle w:val="ClauseIndent1"/>
        <w:keepNext w:val="true"/>
        <w:numPr>
          <w:ilvl w:val="2"/>
          <w:numId w:val="1"/>
        </w:numPr>
        <w:rPr/>
      </w:pPr>
      <w:r>
        <w:rPr/>
        <w:t>If:</w:t>
      </w:r>
    </w:p>
    <w:p>
      <w:pPr>
        <w:pStyle w:val="ClauseIndent2"/>
        <w:numPr>
          <w:ilvl w:val="3"/>
          <w:numId w:val="1"/>
        </w:numPr>
        <w:rPr/>
      </w:pPr>
      <w:r>
        <w:rPr/>
        <w:t xml:space="preserve">the default referred to in clause </w:t>
      </w:r>
      <w:r>
        <w:rPr/>
        <w:fldChar w:fldCharType="begin"/>
      </w:r>
      <w:r>
        <w:rPr/>
        <w:instrText> REF _Ref465427524 \w \h </w:instrText>
      </w:r>
      <w:r>
        <w:rPr/>
        <w:fldChar w:fldCharType="separate"/>
      </w:r>
      <w:r>
        <w:rPr/>
        <w:t>6(a)</w:t>
      </w:r>
      <w:r>
        <w:rPr/>
        <w:fldChar w:fldCharType="end"/>
      </w:r>
      <w:r>
        <w:rPr/>
        <w:t xml:space="preserve"> above is incapable of being remedied or re-performed; or</w:t>
      </w:r>
    </w:p>
    <w:p>
      <w:pPr>
        <w:pStyle w:val="ClauseIndent2"/>
        <w:numPr>
          <w:ilvl w:val="3"/>
          <w:numId w:val="1"/>
        </w:numPr>
        <w:rPr>
          <w:szCs w:val="18"/>
        </w:rPr>
      </w:pPr>
      <w:r>
        <w:rPr/>
        <w:t>the Supplier fails to remedy the default or re-perform the non-compliant Service(s) or deliverable(s) within the</w:t>
      </w:r>
      <w:r>
        <w:rPr>
          <w:szCs w:val="18"/>
        </w:rPr>
        <w:t xml:space="preserve"> time specified in the notice issued under clause </w:t>
      </w:r>
      <w:r>
        <w:rPr>
          <w:szCs w:val="18"/>
        </w:rPr>
        <w:fldChar w:fldCharType="begin"/>
      </w:r>
      <w:r>
        <w:rPr>
          <w:szCs w:val="18"/>
        </w:rPr>
        <w:instrText> REF _Ref465427550 \w \h </w:instrText>
      </w:r>
      <w:r>
        <w:rPr>
          <w:szCs w:val="18"/>
        </w:rPr>
        <w:fldChar w:fldCharType="separate"/>
      </w:r>
      <w:r>
        <w:rPr>
          <w:szCs w:val="18"/>
        </w:rPr>
        <w:t>6(a)(ii)</w:t>
      </w:r>
      <w:r>
        <w:rPr>
          <w:szCs w:val="18"/>
        </w:rPr>
        <w:fldChar w:fldCharType="end"/>
      </w:r>
      <w:r>
        <w:rPr>
          <w:szCs w:val="18"/>
        </w:rPr>
        <w:t>,</w:t>
      </w:r>
    </w:p>
    <w:p>
      <w:pPr>
        <w:pStyle w:val="ClauseIndent21"/>
        <w:rPr/>
      </w:pPr>
      <w:r>
        <w:rPr/>
        <w:t>the Organisation may either have the Services or deliverable(s) remedied or re-performed by a third party or do so itself. In either case, the Supplier must pay the reasonable costs incurred by the Organisation in doing so.</w:t>
      </w:r>
    </w:p>
    <w:p>
      <w:pPr>
        <w:pStyle w:val="ClauseIndent1"/>
        <w:numPr>
          <w:ilvl w:val="2"/>
          <w:numId w:val="1"/>
        </w:numPr>
        <w:rPr/>
      </w:pPr>
      <w:r>
        <w:rPr/>
        <w:t>Nothing in this clause 6 derogates or otherwise limits any other remedy available to the Organisation at Law.</w:t>
      </w:r>
    </w:p>
    <w:p>
      <w:pPr>
        <w:pStyle w:val="ClauseHeading1"/>
        <w:numPr>
          <w:ilvl w:val="0"/>
          <w:numId w:val="1"/>
        </w:numPr>
        <w:rPr/>
      </w:pPr>
      <w:bookmarkStart w:id="43" w:name="_Toc66354292"/>
      <w:bookmarkStart w:id="44" w:name="_Toc491939273"/>
      <w:bookmarkStart w:id="45" w:name="_Ref487636590"/>
      <w:bookmarkStart w:id="46" w:name="_Ref469585911"/>
      <w:bookmarkStart w:id="47" w:name="_Toc464631655"/>
      <w:r>
        <w:rPr/>
        <w:t>Intellectual Property Rights</w:t>
      </w:r>
      <w:bookmarkEnd w:id="43"/>
      <w:bookmarkEnd w:id="44"/>
      <w:bookmarkEnd w:id="45"/>
      <w:bookmarkEnd w:id="46"/>
      <w:bookmarkEnd w:id="47"/>
    </w:p>
    <w:p>
      <w:pPr>
        <w:pStyle w:val="ClauseIndent1"/>
        <w:numPr>
          <w:ilvl w:val="2"/>
          <w:numId w:val="1"/>
        </w:numPr>
        <w:rPr/>
      </w:pPr>
      <w:r>
        <w:rPr/>
        <w:t>Ownership of any Contract Materials will vest in the Supplier from the time of its creation. The Supplier irrevocably and unconditionally grants to the Organisation a perpetual, non</w:t>
        <w:noBreakHyphen/>
        <w:t>exclusive, royalty-free, worldwide and transferable licence (including the right to sub-license) to exercise all Intellectual Property Rights in the Contract Materials to the extent necessary to allow the Organisation the full use and enjoyment of the Services.</w:t>
      </w:r>
    </w:p>
    <w:p>
      <w:pPr>
        <w:pStyle w:val="ClauseIndent1"/>
        <w:numPr>
          <w:ilvl w:val="2"/>
          <w:numId w:val="1"/>
        </w:numPr>
        <w:rPr/>
      </w:pPr>
      <w:r>
        <w:rPr/>
        <w:t>All Pre</w:t>
        <w:noBreakHyphen/>
        <w:t xml:space="preserve">Existing Intellectual Property used by the parties in connection with the provision of the Services or the creation of Contract Materials remains the property of the relevant party or its licensors. </w:t>
      </w:r>
    </w:p>
    <w:p>
      <w:pPr>
        <w:pStyle w:val="ClauseIndent1"/>
        <w:numPr>
          <w:ilvl w:val="2"/>
          <w:numId w:val="1"/>
        </w:numPr>
        <w:rPr/>
      </w:pPr>
      <w:r>
        <w:rPr/>
        <w:t>The Supplier hereby irrevocably and unconditionally grants to the Organisation a perpetual, non</w:t>
        <w:noBreakHyphen/>
        <w:t>exclusive, royalty-free, worldwide and transferable licence (including the right to sub-license) to use any of the Supplier's Pre</w:t>
        <w:noBreakHyphen/>
        <w:t>Existing Intellectual Property incorporated in or otherwise required to use the Contract Materials or the Services. The licence granted to the Organisation under this clause is limited to use of the relevant Pre</w:t>
        <w:noBreakHyphen/>
        <w:t xml:space="preserve">Existing Intellectual Property by the Organisation for the purposes of the Organisation and for no other purpose. </w:t>
      </w:r>
    </w:p>
    <w:p>
      <w:pPr>
        <w:pStyle w:val="ClauseIndent1"/>
        <w:numPr>
          <w:ilvl w:val="2"/>
          <w:numId w:val="1"/>
        </w:numPr>
        <w:rPr>
          <w:szCs w:val="18"/>
        </w:rPr>
      </w:pPr>
      <w:r>
        <w:rPr/>
        <w:t xml:space="preserve">The Organisation grants the Supplier a non-exclusive, non-transferable, royalty-free licence to use the Organisation's Pre-Existing Intellectual Property for the sole purpose of performing, and only to the extent required to perform, the Services and comply with its obligations under the Agreement during the Term.  </w:t>
      </w:r>
    </w:p>
    <w:p>
      <w:pPr>
        <w:pStyle w:val="ClauseIndent1"/>
        <w:numPr>
          <w:ilvl w:val="2"/>
          <w:numId w:val="1"/>
        </w:numPr>
        <w:rPr>
          <w:szCs w:val="18"/>
        </w:rPr>
      </w:pPr>
      <w:r>
        <w:rPr/>
        <w:t>The Supplier undertakes that the Services may be used in any way by the Organisation, without identifying any person as the individual responsible for creating any particular material comprised in it, without infringing the Moral Rights of any person</w:t>
      </w:r>
      <w:r>
        <w:rPr>
          <w:szCs w:val="18"/>
        </w:rPr>
        <w:t>.</w:t>
      </w:r>
    </w:p>
    <w:p>
      <w:pPr>
        <w:pStyle w:val="ClauseIndent1"/>
        <w:numPr>
          <w:ilvl w:val="2"/>
          <w:numId w:val="1"/>
        </w:numPr>
        <w:rPr/>
      </w:pPr>
      <w:r>
        <w:rPr/>
        <w:t xml:space="preserve">The Supplier must, upon request by the Organisation, do all things necessary (including executing any documents) to give full effect to this clause 7. </w:t>
      </w:r>
    </w:p>
    <w:p>
      <w:pPr>
        <w:pStyle w:val="ClauseHeading1"/>
        <w:numPr>
          <w:ilvl w:val="0"/>
          <w:numId w:val="1"/>
        </w:numPr>
        <w:rPr/>
      </w:pPr>
      <w:bookmarkStart w:id="48" w:name="_Toc464631656"/>
      <w:bookmarkStart w:id="49" w:name="_Toc66354293"/>
      <w:bookmarkStart w:id="50" w:name="_Toc491939274"/>
      <w:bookmarkStart w:id="51" w:name="_Ref487648028"/>
      <w:r>
        <w:rPr/>
        <w:t>Data</w:t>
      </w:r>
      <w:bookmarkEnd w:id="49"/>
      <w:bookmarkEnd w:id="50"/>
      <w:bookmarkEnd w:id="51"/>
    </w:p>
    <w:p>
      <w:pPr>
        <w:pStyle w:val="ClauseIndent1"/>
        <w:numPr>
          <w:ilvl w:val="2"/>
          <w:numId w:val="1"/>
        </w:numPr>
        <w:rPr/>
      </w:pPr>
      <w:bookmarkStart w:id="52" w:name="_Ref373246946"/>
      <w:r>
        <w:rPr/>
        <w:t>Data will remain (and, if necessary, will become) the property of the Organisation. The Supplier will assign to the Organisation from the date of creation all Intellectual Property Rights in any Data created by or on behalf of the Supplier.</w:t>
      </w:r>
      <w:bookmarkEnd w:id="52"/>
      <w:r>
        <w:rPr/>
        <w:t xml:space="preserve">  </w:t>
      </w:r>
    </w:p>
    <w:p>
      <w:pPr>
        <w:pStyle w:val="ClauseIndent1"/>
        <w:numPr>
          <w:ilvl w:val="2"/>
          <w:numId w:val="1"/>
        </w:numPr>
        <w:rPr/>
      </w:pPr>
      <w:r>
        <w:rPr/>
        <w:t>The Supplier must only use the Data to the extent necessary to perform its obligations under the Agreement.</w:t>
      </w:r>
    </w:p>
    <w:p>
      <w:pPr>
        <w:pStyle w:val="ClauseHeading1"/>
        <w:numPr>
          <w:ilvl w:val="0"/>
          <w:numId w:val="1"/>
        </w:numPr>
        <w:rPr/>
      </w:pPr>
      <w:bookmarkStart w:id="53" w:name="_Toc66354294"/>
      <w:bookmarkStart w:id="54" w:name="_Toc491939275"/>
      <w:bookmarkStart w:id="55" w:name="_Ref487558266"/>
      <w:r>
        <w:rPr/>
        <w:t>Liability</w:t>
      </w:r>
      <w:bookmarkEnd w:id="53"/>
      <w:bookmarkEnd w:id="54"/>
      <w:bookmarkEnd w:id="55"/>
    </w:p>
    <w:p>
      <w:pPr>
        <w:pStyle w:val="ClauseIndent1"/>
        <w:numPr>
          <w:ilvl w:val="2"/>
          <w:numId w:val="1"/>
        </w:numPr>
        <w:rPr/>
      </w:pPr>
      <w:bookmarkStart w:id="56" w:name="_Ref487558257"/>
      <w:r>
        <w:rPr/>
        <w:t>The Supplier indemnifies, and will at all times keep the Organisation and each of its Personnel indemnified, against any liabilities, losses, damages, costs and expenses (including all legal and settlement costs determined on a full indemnity basis) or compensation arising out of, or in any way in connection with, any:</w:t>
      </w:r>
      <w:bookmarkEnd w:id="56"/>
    </w:p>
    <w:p>
      <w:pPr>
        <w:pStyle w:val="ClauseIndent2"/>
        <w:numPr>
          <w:ilvl w:val="3"/>
          <w:numId w:val="1"/>
        </w:numPr>
        <w:rPr/>
      </w:pPr>
      <w:r>
        <w:rPr/>
        <w:t>personal injury, including sickness and death;</w:t>
      </w:r>
    </w:p>
    <w:p>
      <w:pPr>
        <w:pStyle w:val="ClauseIndent2"/>
        <w:numPr>
          <w:ilvl w:val="3"/>
          <w:numId w:val="1"/>
        </w:numPr>
        <w:rPr/>
      </w:pPr>
      <w:r>
        <w:rPr/>
        <w:t>property damage;</w:t>
      </w:r>
    </w:p>
    <w:p>
      <w:pPr>
        <w:pStyle w:val="ClauseIndent2"/>
        <w:numPr>
          <w:ilvl w:val="3"/>
          <w:numId w:val="1"/>
        </w:numPr>
        <w:rPr/>
      </w:pPr>
      <w:r>
        <w:rPr/>
        <w:t>breach of an obligation of confidence or privacy, whether under this Agreement or otherwise;</w:t>
      </w:r>
    </w:p>
    <w:p>
      <w:pPr>
        <w:pStyle w:val="ClauseIndent2"/>
        <w:numPr>
          <w:ilvl w:val="3"/>
          <w:numId w:val="1"/>
        </w:numPr>
        <w:rPr/>
      </w:pPr>
      <w:r>
        <w:rPr/>
        <w:t>fraudulent acts or omissions;</w:t>
      </w:r>
    </w:p>
    <w:p>
      <w:pPr>
        <w:pStyle w:val="ClauseIndent2"/>
        <w:numPr>
          <w:ilvl w:val="3"/>
          <w:numId w:val="1"/>
        </w:numPr>
        <w:rPr/>
      </w:pPr>
      <w:r>
        <w:rPr/>
        <w:t>wilful misconduct or unlawful act or omission;</w:t>
      </w:r>
    </w:p>
    <w:p>
      <w:pPr>
        <w:pStyle w:val="ClauseIndent2"/>
        <w:numPr>
          <w:ilvl w:val="3"/>
          <w:numId w:val="1"/>
        </w:numPr>
        <w:rPr/>
      </w:pPr>
      <w:r>
        <w:rPr/>
        <w:t>breaches of logical or physical security;</w:t>
      </w:r>
    </w:p>
    <w:p>
      <w:pPr>
        <w:pStyle w:val="ClauseIndent2"/>
        <w:numPr>
          <w:ilvl w:val="3"/>
          <w:numId w:val="1"/>
        </w:numPr>
        <w:rPr/>
      </w:pPr>
      <w:r>
        <w:rPr/>
        <w:t>loss or corruption of Data;</w:t>
      </w:r>
    </w:p>
    <w:p>
      <w:pPr>
        <w:pStyle w:val="ClauseIndent2"/>
        <w:numPr>
          <w:ilvl w:val="3"/>
          <w:numId w:val="1"/>
        </w:numPr>
        <w:rPr/>
      </w:pPr>
      <w:r>
        <w:rPr/>
        <w:t>third party claim arising out of a breach of the Agreement by the Supplier or its Personnel (including breach of warranty) or any negligent act or omission of the Supplier or its Personnel; or</w:t>
      </w:r>
    </w:p>
    <w:p>
      <w:pPr>
        <w:pStyle w:val="ClauseIndent2"/>
        <w:numPr>
          <w:ilvl w:val="3"/>
          <w:numId w:val="1"/>
        </w:numPr>
        <w:rPr/>
      </w:pPr>
      <w:r>
        <w:rPr/>
        <w:t>infringement or alleged infringement of the Intellectual Property Rights or any other rights of any person, including any third party,</w:t>
      </w:r>
    </w:p>
    <w:p>
      <w:pPr>
        <w:pStyle w:val="ClauseIndent21"/>
        <w:rPr/>
      </w:pPr>
      <w:r>
        <w:rPr/>
        <w:t>which was caused, or contributed to by, any act or omission of the Supplier or any of its Personnel.</w:t>
      </w:r>
    </w:p>
    <w:p>
      <w:pPr>
        <w:pStyle w:val="ClauseIndent1"/>
        <w:numPr>
          <w:ilvl w:val="2"/>
          <w:numId w:val="1"/>
        </w:numPr>
        <w:rPr/>
      </w:pPr>
      <w:r>
        <w:rPr/>
        <w:t>The Supplier’s liability to indemnify the Organisation under clause 9</w:t>
      </w:r>
      <w:r>
        <w:rPr/>
        <w:fldChar w:fldCharType="begin"/>
      </w:r>
      <w:r>
        <w:rPr/>
        <w:instrText> REF _Ref487558257 \r \h </w:instrText>
      </w:r>
      <w:r>
        <w:rPr/>
        <w:fldChar w:fldCharType="separate"/>
      </w:r>
      <w:r>
        <w:rPr/>
        <w:t>(a)</w:t>
      </w:r>
      <w:r>
        <w:rPr/>
        <w:fldChar w:fldCharType="end"/>
      </w:r>
      <w:r>
        <w:rPr/>
        <w:t xml:space="preserve"> is reduced to the extent that any wilful, unlawful or negligent act or omission of the Organisation or its Personnel contributed to the liability, loss, damage, cost, expense or compensation.</w:t>
      </w:r>
      <w:bookmarkStart w:id="57" w:name="_Ref465429928"/>
      <w:bookmarkEnd w:id="57"/>
    </w:p>
    <w:p>
      <w:pPr>
        <w:pStyle w:val="ClauseIndent1"/>
        <w:numPr>
          <w:ilvl w:val="2"/>
          <w:numId w:val="1"/>
        </w:numPr>
        <w:rPr/>
      </w:pPr>
      <w:r>
        <w:rPr/>
        <w:t xml:space="preserve">To the extent that the indemnity in clause </w:t>
      </w:r>
      <w:r>
        <w:rPr/>
        <w:fldChar w:fldCharType="begin"/>
      </w:r>
      <w:r>
        <w:rPr/>
        <w:instrText> REF _Ref465429928 \w \h </w:instrText>
      </w:r>
      <w:r>
        <w:rPr/>
        <w:fldChar w:fldCharType="separate"/>
      </w:r>
      <w:r>
        <w:rPr/>
        <w:t>9(a)</w:t>
      </w:r>
      <w:r>
        <w:rPr/>
        <w:fldChar w:fldCharType="end"/>
      </w:r>
      <w:r>
        <w:rPr/>
        <w:t xml:space="preserve"> refers to persons other than the Organisation, the Organisation holds this clause on trust for those other persons.</w:t>
      </w:r>
    </w:p>
    <w:p>
      <w:pPr>
        <w:pStyle w:val="ClauseHeading1"/>
        <w:numPr>
          <w:ilvl w:val="0"/>
          <w:numId w:val="1"/>
        </w:numPr>
        <w:rPr/>
      </w:pPr>
      <w:bookmarkStart w:id="58" w:name="_Toc66354295"/>
      <w:bookmarkStart w:id="59" w:name="_Toc491939276"/>
      <w:bookmarkStart w:id="60" w:name="_Ref487636621"/>
      <w:r>
        <w:rPr/>
        <w:t>Warranties</w:t>
      </w:r>
      <w:bookmarkEnd w:id="58"/>
      <w:bookmarkEnd w:id="59"/>
      <w:bookmarkEnd w:id="60"/>
    </w:p>
    <w:p>
      <w:pPr>
        <w:pStyle w:val="ClauseIndent11"/>
        <w:rPr/>
      </w:pPr>
      <w:r>
        <w:rPr/>
        <w:t>The Supplier represents and warrants to the Organisation that:</w:t>
      </w:r>
    </w:p>
    <w:p>
      <w:pPr>
        <w:pStyle w:val="ClauseIndent1"/>
        <w:numPr>
          <w:ilvl w:val="2"/>
          <w:numId w:val="1"/>
        </w:numPr>
        <w:rPr>
          <w:szCs w:val="18"/>
        </w:rPr>
      </w:pPr>
      <w:r>
        <w:rPr>
          <w:szCs w:val="18"/>
        </w:rPr>
        <w:t>(</w:t>
      </w:r>
      <w:r>
        <w:rPr>
          <w:b/>
          <w:szCs w:val="18"/>
        </w:rPr>
        <w:t>Capacity</w:t>
      </w:r>
      <w:r>
        <w:rPr>
          <w:szCs w:val="18"/>
        </w:rPr>
        <w:t xml:space="preserve">) </w:t>
      </w:r>
      <w:r>
        <w:rPr/>
        <w:t>it has the right to enter into the Agreement and perform the Services;</w:t>
      </w:r>
    </w:p>
    <w:p>
      <w:pPr>
        <w:pStyle w:val="ClauseIndent1"/>
        <w:numPr>
          <w:ilvl w:val="2"/>
          <w:numId w:val="1"/>
        </w:numPr>
        <w:rPr/>
      </w:pPr>
      <w:r>
        <w:rPr/>
        <w:t>(</w:t>
      </w:r>
      <w:r>
        <w:rPr>
          <w:b/>
        </w:rPr>
        <w:t>Purpose</w:t>
      </w:r>
      <w:r>
        <w:rPr/>
        <w:t>) where the Organisation has, either expressly or by implication, made known to the Supplier any particular purpose for which the Services are required, the Services will be performed in such a way as to achieve that result;</w:t>
      </w:r>
    </w:p>
    <w:p>
      <w:pPr>
        <w:pStyle w:val="ClauseIndent1"/>
        <w:numPr>
          <w:ilvl w:val="2"/>
          <w:numId w:val="1"/>
        </w:numPr>
        <w:rPr/>
      </w:pPr>
      <w:r>
        <w:rPr/>
        <w:t>(</w:t>
      </w:r>
      <w:r>
        <w:rPr>
          <w:b/>
        </w:rPr>
        <w:t>Conflict</w:t>
      </w:r>
      <w:r>
        <w:rPr/>
        <w:t xml:space="preserve">) it and its Personnel do not hold any office or possess any property, are not engaged in any business or activity and do not have any obligations whereby duties or interests are or might be created in conflict with or might appear to be created in conflict with its obligations under the Agreement; </w:t>
      </w:r>
    </w:p>
    <w:p>
      <w:pPr>
        <w:pStyle w:val="ClauseIndent1"/>
        <w:numPr>
          <w:ilvl w:val="2"/>
          <w:numId w:val="1"/>
        </w:numPr>
        <w:rPr/>
      </w:pPr>
      <w:r>
        <w:rPr/>
        <w:t>(</w:t>
      </w:r>
      <w:r>
        <w:rPr>
          <w:b/>
        </w:rPr>
        <w:t>IP</w:t>
      </w:r>
      <w:r>
        <w:rPr/>
        <w:t xml:space="preserve">) it is entitled to use and deal with any Intellectual Property Rights which may be used by it in connection with the provision of the Services and to grant to the Organisation the licences contemplated by this Agreement; </w:t>
      </w:r>
    </w:p>
    <w:p>
      <w:pPr>
        <w:pStyle w:val="ClauseIndent1"/>
        <w:numPr>
          <w:ilvl w:val="2"/>
          <w:numId w:val="1"/>
        </w:numPr>
        <w:rPr>
          <w:szCs w:val="18"/>
        </w:rPr>
      </w:pPr>
      <w:r>
        <w:rPr>
          <w:szCs w:val="18"/>
        </w:rPr>
        <w:t>(</w:t>
      </w:r>
      <w:r>
        <w:rPr>
          <w:b/>
          <w:szCs w:val="18"/>
        </w:rPr>
        <w:t>Trust</w:t>
      </w:r>
      <w:r>
        <w:rPr>
          <w:szCs w:val="18"/>
        </w:rPr>
        <w:t xml:space="preserve">) it has not </w:t>
      </w:r>
      <w:r>
        <w:rPr/>
        <w:t xml:space="preserve">entered into the Agreement on behalf of a trust; </w:t>
      </w:r>
      <w:r>
        <w:rPr>
          <w:szCs w:val="18"/>
        </w:rPr>
        <w:t>and</w:t>
      </w:r>
    </w:p>
    <w:p>
      <w:pPr>
        <w:pStyle w:val="ClauseIndent1"/>
        <w:numPr>
          <w:ilvl w:val="2"/>
          <w:numId w:val="1"/>
        </w:numPr>
        <w:rPr/>
      </w:pPr>
      <w:r>
        <w:rPr/>
        <w:t>(</w:t>
      </w:r>
      <w:r>
        <w:rPr>
          <w:b/>
        </w:rPr>
        <w:t>No infringement</w:t>
      </w:r>
      <w:r>
        <w:rPr/>
        <w:t>) the receipt of the Services and the possession or use of any deliverables by the Organisation will not infringe the Intellectual Property Rights or other rights of any person or any Laws.</w:t>
      </w:r>
    </w:p>
    <w:p>
      <w:pPr>
        <w:pStyle w:val="ClauseHeading1"/>
        <w:numPr>
          <w:ilvl w:val="0"/>
          <w:numId w:val="1"/>
        </w:numPr>
        <w:rPr/>
      </w:pPr>
      <w:bookmarkStart w:id="61" w:name="_Toc66354296"/>
      <w:bookmarkStart w:id="62" w:name="_Toc491939277"/>
      <w:bookmarkStart w:id="63" w:name="_Ref487648195"/>
      <w:bookmarkStart w:id="64" w:name="_Ref487648182"/>
      <w:bookmarkStart w:id="65" w:name="_Ref487648167"/>
      <w:bookmarkStart w:id="66" w:name="_Ref487648129"/>
      <w:bookmarkStart w:id="67" w:name="_Ref487648049"/>
      <w:bookmarkStart w:id="68" w:name="_Ref487636644"/>
      <w:r>
        <w:rPr/>
        <w:t>Termination</w:t>
      </w:r>
      <w:bookmarkEnd w:id="61"/>
      <w:bookmarkEnd w:id="62"/>
      <w:bookmarkEnd w:id="63"/>
      <w:bookmarkEnd w:id="64"/>
      <w:bookmarkEnd w:id="65"/>
      <w:bookmarkEnd w:id="66"/>
      <w:bookmarkEnd w:id="67"/>
      <w:bookmarkEnd w:id="68"/>
    </w:p>
    <w:p>
      <w:pPr>
        <w:pStyle w:val="ClauseIndent1"/>
        <w:numPr>
          <w:ilvl w:val="2"/>
          <w:numId w:val="1"/>
        </w:numPr>
        <w:rPr/>
      </w:pPr>
      <w:r>
        <w:rPr/>
        <w:t xml:space="preserve">The Organisation may terminate the Agreement with immediate effect (or with effect from a specified date) by giving notice in writing to the Supplier if the Supplier: </w:t>
      </w:r>
    </w:p>
    <w:p>
      <w:pPr>
        <w:pStyle w:val="ClauseIndent2"/>
        <w:numPr>
          <w:ilvl w:val="3"/>
          <w:numId w:val="1"/>
        </w:numPr>
        <w:rPr/>
      </w:pPr>
      <w:r>
        <w:rPr/>
        <w:t>fails to provide the Services in accordance with the Agreement;</w:t>
      </w:r>
    </w:p>
    <w:p>
      <w:pPr>
        <w:pStyle w:val="ClauseIndent2"/>
        <w:numPr>
          <w:ilvl w:val="3"/>
          <w:numId w:val="1"/>
        </w:numPr>
        <w:rPr/>
      </w:pPr>
      <w:r>
        <w:rPr/>
        <w:t>breaches any provision of the Agreement and, where that breach is capable of remedy, fails to remedy the breach within 10 Business Days after receiving written notice requiring it to do so (or such later date as may be specified in that notice);</w:t>
      </w:r>
    </w:p>
    <w:p>
      <w:pPr>
        <w:pStyle w:val="ClauseIndent2"/>
        <w:numPr>
          <w:ilvl w:val="3"/>
          <w:numId w:val="1"/>
        </w:numPr>
        <w:ind w:right="-177" w:hanging="0"/>
        <w:rPr/>
      </w:pPr>
      <w:r>
        <w:rPr/>
        <w:t xml:space="preserve">breaches any provision of the Agreement that is not capable of remedy; </w:t>
      </w:r>
    </w:p>
    <w:p>
      <w:pPr>
        <w:pStyle w:val="ClauseIndent2"/>
        <w:numPr>
          <w:ilvl w:val="3"/>
          <w:numId w:val="1"/>
        </w:numPr>
        <w:rPr/>
      </w:pPr>
      <w:r>
        <w:rPr/>
        <w:t>or any of its Personnel involved in the provision of the Services commits fraud, dishonesty or any other serious misconduct;</w:t>
      </w:r>
    </w:p>
    <w:p>
      <w:pPr>
        <w:pStyle w:val="ClauseIndent2"/>
        <w:numPr>
          <w:ilvl w:val="3"/>
          <w:numId w:val="1"/>
        </w:numPr>
        <w:rPr/>
      </w:pPr>
      <w:r>
        <w:rPr/>
        <w:t>commits any act or does anything that may be prejudicial or otherwise detrimental to the reputation of the State; or</w:t>
      </w:r>
    </w:p>
    <w:p>
      <w:pPr>
        <w:pStyle w:val="ClauseIndent2"/>
        <w:numPr>
          <w:ilvl w:val="3"/>
          <w:numId w:val="1"/>
        </w:numPr>
        <w:rPr/>
      </w:pPr>
      <w:r>
        <w:rPr/>
        <w:t>suffers from an Insolvency Event.</w:t>
      </w:r>
    </w:p>
    <w:p>
      <w:pPr>
        <w:pStyle w:val="ClauseIndent1"/>
        <w:numPr>
          <w:ilvl w:val="2"/>
          <w:numId w:val="1"/>
        </w:numPr>
        <w:rPr>
          <w:szCs w:val="18"/>
        </w:rPr>
      </w:pPr>
      <w:bookmarkStart w:id="69" w:name="_Ref464482885"/>
      <w:r>
        <w:rPr/>
        <w:t>The Organisation may terminate the Agreement without cause on notice to the Supplier</w:t>
      </w:r>
      <w:r>
        <w:rPr>
          <w:szCs w:val="18"/>
        </w:rPr>
        <w:t>.</w:t>
      </w:r>
      <w:bookmarkEnd w:id="69"/>
    </w:p>
    <w:p>
      <w:pPr>
        <w:pStyle w:val="ClauseIndent1"/>
        <w:numPr>
          <w:ilvl w:val="2"/>
          <w:numId w:val="1"/>
        </w:numPr>
        <w:rPr/>
      </w:pPr>
      <w:bookmarkStart w:id="70" w:name="_Ref487637095"/>
      <w:r>
        <w:rPr/>
        <w:t>If the Agreement is terminated pursuant to clause </w:t>
      </w:r>
      <w:r>
        <w:rPr/>
        <w:fldChar w:fldCharType="begin"/>
      </w:r>
      <w:r>
        <w:rPr/>
        <w:instrText> REF _Ref464482885 \w \h </w:instrText>
      </w:r>
      <w:r>
        <w:rPr/>
        <w:fldChar w:fldCharType="separate"/>
      </w:r>
      <w:r>
        <w:rPr/>
        <w:t>11(b)</w:t>
      </w:r>
      <w:r>
        <w:rPr/>
        <w:fldChar w:fldCharType="end"/>
      </w:r>
      <w:r>
        <w:rPr/>
        <w:t>, the Organisation will pay the Supplier:</w:t>
      </w:r>
      <w:bookmarkEnd w:id="70"/>
    </w:p>
    <w:p>
      <w:pPr>
        <w:pStyle w:val="ClauseIndent2"/>
        <w:numPr>
          <w:ilvl w:val="3"/>
          <w:numId w:val="1"/>
        </w:numPr>
        <w:rPr/>
      </w:pPr>
      <w:r>
        <w:rPr/>
        <w:t>for the Services performed in accordance with the Agreement up to the date of the termination; and</w:t>
      </w:r>
    </w:p>
    <w:p>
      <w:pPr>
        <w:pStyle w:val="ClauseIndent2"/>
        <w:numPr>
          <w:ilvl w:val="3"/>
          <w:numId w:val="1"/>
        </w:numPr>
        <w:rPr/>
      </w:pPr>
      <w:r>
        <w:rPr/>
        <w:t>the unavoidable and substantiated costs incurred by the Supplier as a direct result of the termination, excluding any loss of profit,</w:t>
      </w:r>
    </w:p>
    <w:p>
      <w:pPr>
        <w:pStyle w:val="ClauseIndent21"/>
        <w:rPr/>
      </w:pPr>
      <w:r>
        <w:rPr/>
        <w:t>and the Organisation has no other liability to the Supplier in relation to that termination.</w:t>
      </w:r>
    </w:p>
    <w:p>
      <w:pPr>
        <w:pStyle w:val="ClauseIndent1"/>
        <w:numPr>
          <w:ilvl w:val="2"/>
          <w:numId w:val="1"/>
        </w:numPr>
        <w:rPr/>
      </w:pPr>
      <w:bookmarkStart w:id="71" w:name="_Ref487648132"/>
      <w:r>
        <w:rPr/>
        <w:t>When the Organisation issues a notice under clause </w:t>
      </w:r>
      <w:r>
        <w:rPr/>
        <w:fldChar w:fldCharType="begin"/>
      </w:r>
      <w:r>
        <w:rPr/>
        <w:instrText> REF _Ref464482885 \w \h </w:instrText>
      </w:r>
      <w:r>
        <w:rPr/>
        <w:fldChar w:fldCharType="separate"/>
      </w:r>
      <w:r>
        <w:rPr/>
        <w:t>11(b)</w:t>
      </w:r>
      <w:r>
        <w:rPr/>
        <w:fldChar w:fldCharType="end"/>
      </w:r>
      <w:r>
        <w:rPr/>
        <w:t>, the Supplier will immediately comply with any directions given in the notice and do all that is possible to mitigate its losses arising from the termination of the Agreement.</w:t>
      </w:r>
      <w:bookmarkEnd w:id="71"/>
    </w:p>
    <w:p>
      <w:pPr>
        <w:pStyle w:val="ClauseIndent1"/>
        <w:numPr>
          <w:ilvl w:val="2"/>
          <w:numId w:val="1"/>
        </w:numPr>
        <w:rPr/>
      </w:pPr>
      <w:bookmarkStart w:id="72" w:name="_Ref487648170"/>
      <w:r>
        <w:rPr/>
        <w:t>The Supplier may terminate the Agreement by giving at least 20 Business Days written notice to the Organisation if the Organisation fails to pay amounts due under this Agreement.</w:t>
      </w:r>
      <w:bookmarkEnd w:id="72"/>
    </w:p>
    <w:p>
      <w:pPr>
        <w:pStyle w:val="ClauseIndent1"/>
        <w:numPr>
          <w:ilvl w:val="2"/>
          <w:numId w:val="1"/>
        </w:numPr>
        <w:rPr>
          <w:szCs w:val="18"/>
        </w:rPr>
      </w:pPr>
      <w:bookmarkStart w:id="73" w:name="_Ref487648185"/>
      <w:r>
        <w:rPr/>
        <w:t>Termination or expiry of this Agreement will not prejudice any right of action or remedy which may have accrued to either party prior to termination or expiry.</w:t>
      </w:r>
      <w:bookmarkEnd w:id="73"/>
    </w:p>
    <w:p>
      <w:pPr>
        <w:pStyle w:val="ClauseIndent1"/>
        <w:numPr>
          <w:ilvl w:val="2"/>
          <w:numId w:val="1"/>
        </w:numPr>
        <w:rPr>
          <w:szCs w:val="18"/>
        </w:rPr>
      </w:pPr>
      <w:bookmarkStart w:id="74" w:name="_Ref487637097"/>
      <w:r>
        <w:rPr/>
        <w:t>On termination or expiry the Supplier must immediately, following instructions by the Organisation, cease using all materials that contain any Data or Confidential Information by either destroying the materials or returning the materials at no additional cost to the Organisation.</w:t>
      </w:r>
      <w:bookmarkEnd w:id="74"/>
    </w:p>
    <w:p>
      <w:pPr>
        <w:pStyle w:val="ClauseHeading1"/>
        <w:numPr>
          <w:ilvl w:val="0"/>
          <w:numId w:val="1"/>
        </w:numPr>
        <w:rPr/>
      </w:pPr>
      <w:bookmarkStart w:id="75" w:name="_Toc464631656"/>
      <w:bookmarkStart w:id="76" w:name="_Toc66354297"/>
      <w:bookmarkStart w:id="77" w:name="_Toc491939278"/>
      <w:bookmarkStart w:id="78" w:name="_Ref487648212"/>
      <w:r>
        <w:rPr/>
        <w:t>Insurance</w:t>
      </w:r>
      <w:bookmarkEnd w:id="75"/>
      <w:bookmarkEnd w:id="76"/>
      <w:bookmarkEnd w:id="77"/>
      <w:bookmarkEnd w:id="78"/>
    </w:p>
    <w:p>
      <w:pPr>
        <w:pStyle w:val="ClauseIndent1"/>
        <w:numPr>
          <w:ilvl w:val="2"/>
          <w:numId w:val="1"/>
        </w:numPr>
        <w:rPr/>
      </w:pPr>
      <w:bookmarkStart w:id="79" w:name="_Ref487648213"/>
      <w:r>
        <w:rPr/>
        <w:t>The Supplier must obtain and maintain insurance cover during the Term and, if requested by the Organisation, for a period of up to 7 years after the Services have been completed, sufficient to cover any loss or costs that may be incurred and for which the Supplier may be liable in connection with the Agreement, including professional indemnity and, if applicable, public and product liability insurance to the value specified in the Purchase Order or, if no value is specified, to a value sufficient to cover any loss or costs that may be incurred.</w:t>
      </w:r>
      <w:bookmarkEnd w:id="79"/>
    </w:p>
    <w:p>
      <w:pPr>
        <w:pStyle w:val="ClauseIndent1"/>
        <w:numPr>
          <w:ilvl w:val="2"/>
          <w:numId w:val="1"/>
        </w:numPr>
        <w:rPr/>
      </w:pPr>
      <w:r>
        <w:rPr/>
        <w:t>On request, the Supplier must, within 10 Business Days, provide the Organisation with evidence of the currency of any insurance it is required to obtain under this Agreement.</w:t>
      </w:r>
    </w:p>
    <w:p>
      <w:pPr>
        <w:pStyle w:val="ClauseIndent1"/>
        <w:keepLines/>
        <w:numPr>
          <w:ilvl w:val="2"/>
          <w:numId w:val="1"/>
        </w:numPr>
        <w:rPr/>
      </w:pPr>
      <w:r>
        <w:rPr/>
        <w:t>Where the required insurance is due to expire, on request by the Organisation, the Supplier must provide evidence of the replacement insurance prior to the expiry of the initial insurance.</w:t>
      </w:r>
    </w:p>
    <w:p>
      <w:pPr>
        <w:pStyle w:val="ClauseHeading1"/>
        <w:numPr>
          <w:ilvl w:val="0"/>
          <w:numId w:val="1"/>
        </w:numPr>
        <w:rPr/>
      </w:pPr>
      <w:bookmarkStart w:id="80" w:name="_Toc66354298"/>
      <w:bookmarkStart w:id="81" w:name="_Toc491939279"/>
      <w:bookmarkStart w:id="82" w:name="_Toc464631657"/>
      <w:bookmarkStart w:id="83" w:name="_Ref487636659"/>
      <w:r>
        <w:rPr/>
        <w:t>Confidentiality, privacy and data protection</w:t>
      </w:r>
      <w:bookmarkEnd w:id="80"/>
      <w:bookmarkEnd w:id="81"/>
      <w:bookmarkEnd w:id="82"/>
      <w:bookmarkEnd w:id="83"/>
    </w:p>
    <w:p>
      <w:pPr>
        <w:pStyle w:val="ClauseIndent1"/>
        <w:numPr>
          <w:ilvl w:val="2"/>
          <w:numId w:val="1"/>
        </w:numPr>
        <w:rPr/>
      </w:pPr>
      <w:r>
        <w:rPr/>
        <w:t>The Supplier and its Personnel must keep the Confidential Information confidential and secure and must not disclose or otherwise make available any Confidential Information to any other person.</w:t>
      </w:r>
    </w:p>
    <w:p>
      <w:pPr>
        <w:pStyle w:val="ClauseIndent1"/>
        <w:numPr>
          <w:ilvl w:val="2"/>
          <w:numId w:val="1"/>
        </w:numPr>
        <w:rPr/>
      </w:pPr>
      <w:r>
        <w:rPr/>
        <w:t xml:space="preserve">The Supplier consents to the Organisation publishing or otherwise making available information in relation to the Supplier (and the provision of the Services): </w:t>
      </w:r>
    </w:p>
    <w:p>
      <w:pPr>
        <w:pStyle w:val="ClauseIndent2"/>
        <w:numPr>
          <w:ilvl w:val="3"/>
          <w:numId w:val="1"/>
        </w:numPr>
        <w:rPr/>
      </w:pPr>
      <w:r>
        <w:rPr/>
        <w:t>as may be required to comply with the Contract Publishing System;</w:t>
      </w:r>
    </w:p>
    <w:p>
      <w:pPr>
        <w:pStyle w:val="ClauseIndent2"/>
        <w:numPr>
          <w:ilvl w:val="3"/>
          <w:numId w:val="1"/>
        </w:numPr>
        <w:rPr/>
      </w:pPr>
      <w:r>
        <w:rPr/>
        <w:t>to other Victorian Public Entities or Ministers of the State in connection with the use of the Services;</w:t>
      </w:r>
    </w:p>
    <w:p>
      <w:pPr>
        <w:pStyle w:val="ClauseIndent2"/>
        <w:numPr>
          <w:ilvl w:val="3"/>
          <w:numId w:val="1"/>
        </w:numPr>
        <w:rPr/>
      </w:pPr>
      <w:r>
        <w:rPr/>
        <w:t>to any public sector agency (of the State, any other state or territory or the Commonwealth) for the purposes of benchmarking, provided that it will not identify the Supplier;</w:t>
      </w:r>
    </w:p>
    <w:p>
      <w:pPr>
        <w:pStyle w:val="ClauseIndent2"/>
        <w:numPr>
          <w:ilvl w:val="3"/>
          <w:numId w:val="1"/>
        </w:numPr>
        <w:rPr/>
      </w:pPr>
      <w:r>
        <w:rPr/>
        <w:t xml:space="preserve">to the office of the Auditor General appointed under section 94A of the </w:t>
      </w:r>
      <w:r>
        <w:rPr>
          <w:i/>
        </w:rPr>
        <w:t>Constitution Act 1975</w:t>
      </w:r>
      <w:r>
        <w:rPr/>
        <w:t xml:space="preserve"> (Vic) or the ombudsman appointed under the </w:t>
      </w:r>
      <w:r>
        <w:rPr>
          <w:i/>
        </w:rPr>
        <w:t>Ombudsman Act 1973</w:t>
      </w:r>
      <w:r>
        <w:rPr/>
        <w:t xml:space="preserve"> (Vic); </w:t>
      </w:r>
    </w:p>
    <w:p>
      <w:pPr>
        <w:pStyle w:val="ClauseIndent2"/>
        <w:numPr>
          <w:ilvl w:val="3"/>
          <w:numId w:val="1"/>
        </w:numPr>
        <w:ind w:right="-177" w:hanging="0"/>
        <w:rPr/>
      </w:pPr>
      <w:r>
        <w:rPr/>
        <w:t xml:space="preserve">to comply with Law, including the </w:t>
      </w:r>
      <w:r>
        <w:rPr>
          <w:i/>
        </w:rPr>
        <w:t>Freedom of Information Act 1982</w:t>
      </w:r>
      <w:r>
        <w:rPr/>
        <w:t xml:space="preserve"> (Vic); or</w:t>
      </w:r>
    </w:p>
    <w:p>
      <w:pPr>
        <w:pStyle w:val="ClauseIndent2"/>
        <w:numPr>
          <w:ilvl w:val="3"/>
          <w:numId w:val="1"/>
        </w:numPr>
        <w:rPr/>
      </w:pPr>
      <w:r>
        <w:rPr/>
        <w:t>to the IBAC.</w:t>
      </w:r>
    </w:p>
    <w:p>
      <w:pPr>
        <w:pStyle w:val="ClauseIndent1"/>
        <w:numPr>
          <w:ilvl w:val="2"/>
          <w:numId w:val="1"/>
        </w:numPr>
        <w:rPr>
          <w:szCs w:val="18"/>
        </w:rPr>
      </w:pPr>
      <w:bookmarkStart w:id="84" w:name="_Ref464483060"/>
      <w:r>
        <w:rPr/>
        <w:t xml:space="preserve">The Supplier acknowledges that it will be bound by the Information Privacy Principles, Health Privacy Principles and any applicable Code of Practice (together, </w:t>
      </w:r>
      <w:r>
        <w:rPr>
          <w:b/>
        </w:rPr>
        <w:t>Privacy Obligations</w:t>
      </w:r>
      <w:r>
        <w:rPr/>
        <w:t>) with respect to any act done or practice engaged in by the Supplier for the purposes of the Agreement, in the same way and to the same extent as the Privacy Obligations would have applied to the Organisation in respect of that act or practice had it been directly done or engaged in by the Organisation.</w:t>
      </w:r>
      <w:bookmarkEnd w:id="84"/>
    </w:p>
    <w:p>
      <w:pPr>
        <w:pStyle w:val="ClauseIndent1"/>
        <w:numPr>
          <w:ilvl w:val="2"/>
          <w:numId w:val="1"/>
        </w:numPr>
        <w:rPr/>
      </w:pPr>
      <w:r>
        <w:rPr/>
        <w:t>The Supplier acknowledges that the Organisation is bound by the Protective Data Security Standards. The Supplier will not do any act or engage in any practice that would contravene or give rise to a breach of a Protective Data Security Standard in respect of any Data collected, held, used, managed, disclosed or transferred by the Supplier, on behalf of the State, under or in connection with the Agreement.</w:t>
      </w:r>
    </w:p>
    <w:p>
      <w:pPr>
        <w:pStyle w:val="ClauseHeading1"/>
        <w:numPr>
          <w:ilvl w:val="0"/>
          <w:numId w:val="1"/>
        </w:numPr>
        <w:rPr/>
      </w:pPr>
      <w:bookmarkStart w:id="85" w:name="_Toc66354299"/>
      <w:bookmarkStart w:id="86" w:name="_Toc491939280"/>
      <w:bookmarkStart w:id="87" w:name="_Toc464631658"/>
      <w:r>
        <w:rPr/>
        <w:t>Access</w:t>
      </w:r>
      <w:bookmarkEnd w:id="85"/>
      <w:bookmarkEnd w:id="86"/>
      <w:bookmarkEnd w:id="87"/>
    </w:p>
    <w:p>
      <w:pPr>
        <w:pStyle w:val="ClauseIndent11"/>
        <w:rPr/>
      </w:pPr>
      <w:r>
        <w:rPr/>
        <w:t>When at the Organisation's premises, the Supplier must, and must ensure that its Personnel:</w:t>
      </w:r>
    </w:p>
    <w:p>
      <w:pPr>
        <w:pStyle w:val="ClauseIndent1"/>
        <w:numPr>
          <w:ilvl w:val="2"/>
          <w:numId w:val="1"/>
        </w:numPr>
        <w:rPr/>
      </w:pPr>
      <w:r>
        <w:rPr/>
        <w:t>protect people and property;</w:t>
      </w:r>
    </w:p>
    <w:p>
      <w:pPr>
        <w:pStyle w:val="ClauseIndent1"/>
        <w:numPr>
          <w:ilvl w:val="2"/>
          <w:numId w:val="1"/>
        </w:numPr>
        <w:rPr/>
      </w:pPr>
      <w:r>
        <w:rPr/>
        <w:t>prevent nuisance;</w:t>
      </w:r>
    </w:p>
    <w:p>
      <w:pPr>
        <w:pStyle w:val="ClauseIndent1"/>
        <w:numPr>
          <w:ilvl w:val="2"/>
          <w:numId w:val="1"/>
        </w:numPr>
        <w:rPr/>
      </w:pPr>
      <w:r>
        <w:rPr/>
        <w:t>act in a safe and lawful manner;</w:t>
      </w:r>
    </w:p>
    <w:p>
      <w:pPr>
        <w:pStyle w:val="ClauseIndent1"/>
        <w:numPr>
          <w:ilvl w:val="2"/>
          <w:numId w:val="1"/>
        </w:numPr>
        <w:rPr/>
      </w:pPr>
      <w:r>
        <w:rPr/>
        <w:t>comply with the safety standards and policies of the Organisation (as notified to the Supplier); and</w:t>
      </w:r>
    </w:p>
    <w:p>
      <w:pPr>
        <w:pStyle w:val="ClauseIndent1"/>
        <w:numPr>
          <w:ilvl w:val="2"/>
          <w:numId w:val="1"/>
        </w:numPr>
        <w:rPr/>
      </w:pPr>
      <w:r>
        <w:rPr/>
        <w:t>comply with any lawful directions of the Organisation or its Personnel.</w:t>
      </w:r>
    </w:p>
    <w:p>
      <w:pPr>
        <w:pStyle w:val="ClauseHeading1"/>
        <w:numPr>
          <w:ilvl w:val="0"/>
          <w:numId w:val="1"/>
        </w:numPr>
        <w:rPr/>
      </w:pPr>
      <w:bookmarkStart w:id="88" w:name="_Toc66354300"/>
      <w:bookmarkStart w:id="89" w:name="_Toc491939281"/>
      <w:bookmarkStart w:id="90" w:name="_Toc464631659"/>
      <w:r>
        <w:rPr/>
        <w:t>Sub</w:t>
        <w:noBreakHyphen/>
        <w:t>contracting</w:t>
      </w:r>
      <w:bookmarkEnd w:id="88"/>
      <w:bookmarkEnd w:id="89"/>
      <w:bookmarkEnd w:id="90"/>
    </w:p>
    <w:p>
      <w:pPr>
        <w:pStyle w:val="ClauseIndent1"/>
        <w:numPr>
          <w:ilvl w:val="2"/>
          <w:numId w:val="1"/>
        </w:numPr>
        <w:rPr/>
      </w:pPr>
      <w:r>
        <w:rPr/>
        <w:t>The Supplier must not sub</w:t>
        <w:noBreakHyphen/>
        <w:t>contract to any third person any of its obligations in relation to the Services without the prior written consent of the Organisation (which may be given conditionally or withheld in its absolute discretion).</w:t>
      </w:r>
    </w:p>
    <w:p>
      <w:pPr>
        <w:pStyle w:val="ClauseIndent1"/>
        <w:numPr>
          <w:ilvl w:val="2"/>
          <w:numId w:val="1"/>
        </w:numPr>
        <w:rPr/>
      </w:pPr>
      <w:bookmarkStart w:id="91" w:name="_Ref487648234"/>
      <w:r>
        <w:rPr/>
        <w:t>The Supplier will not, as a result of any sub</w:t>
        <w:noBreakHyphen/>
        <w:t>contracting arrangement, be relieved from the performance of any obligation under the Agreement and will be liable for all acts and omissions of a sub</w:t>
        <w:noBreakHyphen/>
        <w:t>contractor as though they were the actions of the Supplier itself.</w:t>
      </w:r>
      <w:bookmarkEnd w:id="91"/>
    </w:p>
    <w:p>
      <w:pPr>
        <w:pStyle w:val="ClauseHeading1"/>
        <w:numPr>
          <w:ilvl w:val="0"/>
          <w:numId w:val="1"/>
        </w:numPr>
        <w:rPr/>
      </w:pPr>
      <w:bookmarkStart w:id="92" w:name="_Toc66354301"/>
      <w:bookmarkStart w:id="93" w:name="_Toc491939282"/>
      <w:bookmarkStart w:id="94" w:name="_Toc464631660"/>
      <w:r>
        <w:rPr/>
        <w:t>Compliance with Law and Policy</w:t>
      </w:r>
      <w:bookmarkEnd w:id="92"/>
      <w:bookmarkEnd w:id="93"/>
      <w:bookmarkEnd w:id="94"/>
    </w:p>
    <w:p>
      <w:pPr>
        <w:pStyle w:val="ClauseIndent1"/>
        <w:numPr>
          <w:ilvl w:val="2"/>
          <w:numId w:val="1"/>
        </w:numPr>
        <w:rPr/>
      </w:pPr>
      <w:bookmarkStart w:id="95" w:name="_Ref465417494"/>
      <w:r>
        <w:rPr/>
        <w:t>The Supplier must, in performing its obligations under the Agreement, comply with the Laws relevant to the provision of Services by the Supplier under the Agreement and with the ‘Victorian Industry Participation Policy’ (if applicable).</w:t>
      </w:r>
      <w:bookmarkEnd w:id="95"/>
    </w:p>
    <w:p>
      <w:pPr>
        <w:pStyle w:val="ClauseIndent1"/>
        <w:numPr>
          <w:ilvl w:val="2"/>
          <w:numId w:val="1"/>
        </w:numPr>
        <w:rPr/>
      </w:pPr>
      <w:r>
        <w:rPr/>
        <w:t>Where, in the course of providing the Services, the Supplier or its Personnel:</w:t>
      </w:r>
    </w:p>
    <w:p>
      <w:pPr>
        <w:pStyle w:val="ClauseIndent2"/>
        <w:numPr>
          <w:ilvl w:val="3"/>
          <w:numId w:val="1"/>
        </w:numPr>
        <w:rPr/>
      </w:pPr>
      <w:r>
        <w:rPr/>
        <w:t xml:space="preserve">supervise or work with Public Sector Employees; </w:t>
      </w:r>
    </w:p>
    <w:p>
      <w:pPr>
        <w:pStyle w:val="ClauseIndent2"/>
        <w:numPr>
          <w:ilvl w:val="3"/>
          <w:numId w:val="1"/>
        </w:numPr>
        <w:rPr/>
      </w:pPr>
      <w:r>
        <w:rPr/>
        <w:t>undertake work that is of a similar nature to the work undertaken by Public Sector Employees at a premises or location generally regarded as a public sector workplace; or</w:t>
      </w:r>
    </w:p>
    <w:p>
      <w:pPr>
        <w:pStyle w:val="ClauseIndent2"/>
        <w:numPr>
          <w:ilvl w:val="3"/>
          <w:numId w:val="1"/>
        </w:numPr>
        <w:rPr/>
      </w:pPr>
      <w:r>
        <w:rPr/>
        <w:t>use or have access to public sector resources or information that are not normally accessible or available to the public,</w:t>
      </w:r>
    </w:p>
    <w:p>
      <w:pPr>
        <w:pStyle w:val="ClauseIndent21"/>
        <w:rPr/>
      </w:pPr>
      <w:r>
        <w:rPr/>
        <w:t>the Supplier must (and must ensure that its Personnel) comply with the VPSC Code of Conduct.</w:t>
      </w:r>
    </w:p>
    <w:p>
      <w:pPr>
        <w:pStyle w:val="ClauseIndent1"/>
        <w:numPr>
          <w:ilvl w:val="2"/>
          <w:numId w:val="1"/>
        </w:numPr>
        <w:rPr/>
      </w:pPr>
      <w:r>
        <w:rPr/>
        <w:t xml:space="preserve">The Supplier acknowledges that: </w:t>
      </w:r>
    </w:p>
    <w:p>
      <w:pPr>
        <w:pStyle w:val="ClauseIndent2"/>
        <w:numPr>
          <w:ilvl w:val="3"/>
          <w:numId w:val="1"/>
        </w:numPr>
        <w:rPr/>
      </w:pPr>
      <w:r>
        <w:rPr/>
        <w:t>the Supplier Code of Conduct is an important part of the State's approach to procurement and describes the State's minimum expectations regarding the conduct of its suppliers;</w:t>
      </w:r>
    </w:p>
    <w:p>
      <w:pPr>
        <w:pStyle w:val="ClauseIndent2"/>
        <w:numPr>
          <w:ilvl w:val="3"/>
          <w:numId w:val="1"/>
        </w:numPr>
        <w:rPr/>
      </w:pPr>
      <w:r>
        <w:rPr/>
        <w:t>it has read and aspires to comply with the Supplier Code of Conduct; and</w:t>
      </w:r>
    </w:p>
    <w:p>
      <w:pPr>
        <w:pStyle w:val="ClauseIndent2"/>
        <w:numPr>
          <w:ilvl w:val="3"/>
          <w:numId w:val="1"/>
        </w:numPr>
        <w:rPr/>
      </w:pPr>
      <w:r>
        <w:rPr/>
        <w:t>the expectations set out in the Code are not intended to reduce, alter or supersede any other obligations which may be imposed on the Supplier, whether under the Agreement or at Law.</w:t>
      </w:r>
    </w:p>
    <w:p>
      <w:pPr>
        <w:pStyle w:val="ClauseHeading1"/>
        <w:numPr>
          <w:ilvl w:val="0"/>
          <w:numId w:val="1"/>
        </w:numPr>
        <w:rPr/>
      </w:pPr>
      <w:bookmarkStart w:id="96" w:name="_Toc66354302"/>
      <w:bookmarkStart w:id="97" w:name="_Toc491939283"/>
      <w:bookmarkStart w:id="98" w:name="_Ref487636676"/>
      <w:bookmarkStart w:id="99" w:name="_Toc464631661"/>
      <w:r>
        <w:rPr/>
        <w:t>GST</w:t>
      </w:r>
      <w:bookmarkEnd w:id="96"/>
      <w:bookmarkEnd w:id="97"/>
      <w:bookmarkEnd w:id="98"/>
      <w:bookmarkEnd w:id="99"/>
    </w:p>
    <w:p>
      <w:pPr>
        <w:pStyle w:val="ClauseIndent1"/>
        <w:numPr>
          <w:ilvl w:val="2"/>
          <w:numId w:val="1"/>
        </w:numPr>
        <w:rPr/>
      </w:pPr>
      <w:r>
        <w:rPr/>
        <w:t>The terms used in this clause have the same meanings given to them in the GST Act.</w:t>
      </w:r>
    </w:p>
    <w:p>
      <w:pPr>
        <w:pStyle w:val="ClauseIndent1"/>
        <w:numPr>
          <w:ilvl w:val="2"/>
          <w:numId w:val="1"/>
        </w:numPr>
        <w:rPr/>
      </w:pPr>
      <w:r>
        <w:rPr/>
        <w:t>Unless otherwise expressly stated, all prices or other sums payable or consideration to be provided under or in accordance with the Agreement are exclusive of GST.</w:t>
      </w:r>
    </w:p>
    <w:p>
      <w:pPr>
        <w:pStyle w:val="ClauseIndent1"/>
        <w:numPr>
          <w:ilvl w:val="2"/>
          <w:numId w:val="1"/>
        </w:numPr>
        <w:rPr>
          <w:szCs w:val="18"/>
        </w:rPr>
      </w:pPr>
      <w:r>
        <w:rPr/>
        <w:t>If GST is imposed on any supply made under or in accordance with the Agreement, the recipient of the taxable supply must pay to the party making the taxable supply an amount equal to the GST payable on or for the taxable supply. Subject to the recipient first receiving a valid tax invoice, payment of the GST amount will be made at the same time the consideration for the taxable supply is to be paid or provided in accordance with the Agreement.</w:t>
      </w:r>
    </w:p>
    <w:p>
      <w:pPr>
        <w:pStyle w:val="ClauseHeading1"/>
        <w:numPr>
          <w:ilvl w:val="0"/>
          <w:numId w:val="1"/>
        </w:numPr>
        <w:rPr/>
      </w:pPr>
      <w:bookmarkStart w:id="100" w:name="_Toc464631662"/>
      <w:bookmarkStart w:id="101" w:name="_Toc66354303"/>
      <w:bookmarkStart w:id="102" w:name="_Toc491939284"/>
      <w:bookmarkStart w:id="103" w:name="_Ref487703947"/>
      <w:bookmarkStart w:id="104" w:name="_Ref487636840"/>
      <w:r>
        <w:rPr/>
        <w:t>Dispute Resolution</w:t>
      </w:r>
      <w:bookmarkEnd w:id="101"/>
      <w:bookmarkEnd w:id="102"/>
      <w:bookmarkEnd w:id="103"/>
      <w:bookmarkEnd w:id="104"/>
    </w:p>
    <w:p>
      <w:pPr>
        <w:pStyle w:val="ClauseIndent1"/>
        <w:numPr>
          <w:ilvl w:val="2"/>
          <w:numId w:val="1"/>
        </w:numPr>
        <w:rPr/>
      </w:pPr>
      <w:r>
        <w:rPr/>
        <w:t>If any dispute arises under or in connection with this Agreement (</w:t>
      </w:r>
      <w:r>
        <w:rPr>
          <w:b/>
        </w:rPr>
        <w:t>Dispute</w:t>
      </w:r>
      <w:r>
        <w:rPr/>
        <w:t>), either party may at any time give written notice to the other (</w:t>
      </w:r>
      <w:r>
        <w:rPr>
          <w:b/>
        </w:rPr>
        <w:t>Dispute Notice</w:t>
      </w:r>
      <w:r>
        <w:rPr/>
        <w:t>) requesting that a meeting take place to seek to resolve the Dispute in good faith.</w:t>
      </w:r>
    </w:p>
    <w:p>
      <w:pPr>
        <w:pStyle w:val="ClauseIndent1"/>
        <w:numPr>
          <w:ilvl w:val="2"/>
          <w:numId w:val="1"/>
        </w:numPr>
        <w:rPr/>
      </w:pPr>
      <w:r>
        <w:rPr/>
        <w:t>If the Dispute is not resolved in 15 Business Days it will be referred to mediation (</w:t>
      </w:r>
      <w:r>
        <w:rPr>
          <w:b/>
        </w:rPr>
        <w:t>Mediation</w:t>
      </w:r>
      <w:r>
        <w:rPr/>
        <w:t>) conducted by the Australian Disputes Centre (</w:t>
      </w:r>
      <w:r>
        <w:rPr>
          <w:b/>
        </w:rPr>
        <w:t>ADC</w:t>
      </w:r>
      <w:r>
        <w:rPr/>
        <w:t>) in accordance with the ADC mediation guidelines (</w:t>
      </w:r>
      <w:r>
        <w:rPr>
          <w:b/>
        </w:rPr>
        <w:t>Guidelines</w:t>
      </w:r>
      <w:r>
        <w:rPr/>
        <w:t>) with each party bearing their own cost.</w:t>
      </w:r>
    </w:p>
    <w:p>
      <w:pPr>
        <w:pStyle w:val="ClauseIndent1"/>
        <w:numPr>
          <w:ilvl w:val="2"/>
          <w:numId w:val="1"/>
        </w:numPr>
        <w:rPr/>
      </w:pPr>
      <w:r>
        <w:rPr/>
        <w:t>If the parties fail to settle the Dispute at Mediation, the parties may agree to submit the dispute for resolution to final and binding arbitration.</w:t>
      </w:r>
    </w:p>
    <w:p>
      <w:pPr>
        <w:pStyle w:val="ClauseIndent1"/>
        <w:numPr>
          <w:ilvl w:val="2"/>
          <w:numId w:val="1"/>
        </w:numPr>
        <w:rPr/>
      </w:pPr>
      <w:r>
        <w:rPr/>
        <w:t>The parties will continue to perform their respective obligations under this Agreement pending the resolution of a Dispute.</w:t>
      </w:r>
    </w:p>
    <w:p>
      <w:pPr>
        <w:pStyle w:val="ClauseHeading1"/>
        <w:numPr>
          <w:ilvl w:val="0"/>
          <w:numId w:val="1"/>
        </w:numPr>
        <w:rPr/>
      </w:pPr>
      <w:bookmarkStart w:id="105" w:name="_Toc66354304"/>
      <w:bookmarkStart w:id="106" w:name="_Toc491939285"/>
      <w:bookmarkStart w:id="107" w:name="_Ref487636683"/>
      <w:r>
        <w:rPr/>
        <w:t>General</w:t>
      </w:r>
      <w:bookmarkEnd w:id="105"/>
      <w:bookmarkEnd w:id="106"/>
      <w:bookmarkEnd w:id="107"/>
      <w:r>
        <w:rPr/>
        <w:t xml:space="preserve"> </w:t>
      </w:r>
      <w:bookmarkEnd w:id="100"/>
    </w:p>
    <w:p>
      <w:pPr>
        <w:pStyle w:val="ClauseIndent1"/>
        <w:numPr>
          <w:ilvl w:val="2"/>
          <w:numId w:val="1"/>
        </w:numPr>
        <w:rPr/>
      </w:pPr>
      <w:r>
        <w:rPr/>
        <w:t>The Agreement is governed by and is to be construed in accordance with the Laws. Each party irrevocably and unconditionally submits to the exclusive jurisdiction of the courts of Victoria and any courts which have jurisdiction to hear appeals from any of those courts and waives any right to object to any proceedings being brought in those courts.</w:t>
      </w:r>
    </w:p>
    <w:p>
      <w:pPr>
        <w:pStyle w:val="ClauseIndent1"/>
        <w:numPr>
          <w:ilvl w:val="2"/>
          <w:numId w:val="1"/>
        </w:numPr>
        <w:rPr/>
      </w:pPr>
      <w:r>
        <w:rPr/>
        <w:t>Time is of the essence in relation to the provision of the Services.</w:t>
      </w:r>
    </w:p>
    <w:p>
      <w:pPr>
        <w:pStyle w:val="ClauseIndent1"/>
        <w:numPr>
          <w:ilvl w:val="2"/>
          <w:numId w:val="1"/>
        </w:numPr>
        <w:rPr/>
      </w:pPr>
      <w:r>
        <w:rPr/>
        <w:t>The Agreement may only be varied or replaced by a written document executed by the parties.</w:t>
      </w:r>
    </w:p>
    <w:p>
      <w:pPr>
        <w:pStyle w:val="ClauseIndent1"/>
        <w:numPr>
          <w:ilvl w:val="2"/>
          <w:numId w:val="1"/>
        </w:numPr>
        <w:rPr/>
      </w:pPr>
      <w:r>
        <w:rPr/>
        <w:t>A waiver of any right, power or remedy under the Agreement must be in writing and signed by the party granting it. The fact that a party fails to do, or delays in doing, something the party is entitled to do under the Agreement does not amount to a waiver.</w:t>
      </w:r>
    </w:p>
    <w:p>
      <w:pPr>
        <w:pStyle w:val="ClauseIndent1"/>
        <w:numPr>
          <w:ilvl w:val="2"/>
          <w:numId w:val="1"/>
        </w:numPr>
        <w:rPr/>
      </w:pPr>
      <w:r>
        <w:rPr/>
        <w:t>Any provision of the Agreement which is invalid or unenforceable is to be read down, if possible, so as to be valid and enforceable, and, if that is not possible, the provision will, to the extent that it is capable, be severed to the extent of the invalidity or unenforceability, without affecting the remaining provisions.</w:t>
      </w:r>
    </w:p>
    <w:p>
      <w:pPr>
        <w:pStyle w:val="ClauseIndent1"/>
        <w:numPr>
          <w:ilvl w:val="2"/>
          <w:numId w:val="1"/>
        </w:numPr>
        <w:rPr/>
      </w:pPr>
      <w:r>
        <w:rPr/>
        <w:t>The Organisation may set off against any sum owing to the Supplier under the Agreement any amount then owing by the Supplier to the Organisation.</w:t>
      </w:r>
    </w:p>
    <w:p>
      <w:pPr>
        <w:pStyle w:val="ClauseIndent1"/>
        <w:numPr>
          <w:ilvl w:val="2"/>
          <w:numId w:val="1"/>
        </w:numPr>
        <w:rPr/>
      </w:pPr>
      <w:bookmarkStart w:id="108" w:name="_Ref464483195"/>
      <w:r>
        <w:rPr/>
        <w:t>Subject to clause </w:t>
      </w:r>
      <w:r>
        <w:rPr/>
        <w:fldChar w:fldCharType="begin"/>
      </w:r>
      <w:r>
        <w:rPr/>
        <w:instrText> REF _Ref464483187 \w \h </w:instrText>
      </w:r>
      <w:r>
        <w:rPr/>
        <w:fldChar w:fldCharType="separate"/>
      </w:r>
      <w:r>
        <w:rPr/>
        <w:t>19(h)</w:t>
      </w:r>
      <w:r>
        <w:rPr/>
        <w:fldChar w:fldCharType="end"/>
      </w:r>
      <w:r>
        <w:rPr/>
        <w:t>, a party may not assign any right under the Agreement without the prior written consent of the other party.</w:t>
      </w:r>
      <w:bookmarkEnd w:id="108"/>
      <w:r>
        <w:rPr/>
        <w:t xml:space="preserve"> The Supplier will be responsible for acts and omissions of any assignee.</w:t>
      </w:r>
    </w:p>
    <w:p>
      <w:pPr>
        <w:pStyle w:val="ClauseIndent1"/>
        <w:numPr>
          <w:ilvl w:val="2"/>
          <w:numId w:val="1"/>
        </w:numPr>
        <w:rPr/>
      </w:pPr>
      <w:bookmarkStart w:id="109" w:name="_Ref464483187"/>
      <w:r>
        <w:rPr/>
        <w:t>The Organisation may, by notice in writing to the Supplier, assign its rights, transfer its obligations or novate the Agreement to any Victorian Public Entity in the event of any State government restructure or other re</w:t>
        <w:noBreakHyphen/>
        <w:t>organisation or change in policy.</w:t>
      </w:r>
      <w:bookmarkEnd w:id="109"/>
    </w:p>
    <w:p>
      <w:pPr>
        <w:pStyle w:val="ClauseHeading1"/>
        <w:numPr>
          <w:ilvl w:val="0"/>
          <w:numId w:val="1"/>
        </w:numPr>
        <w:rPr/>
      </w:pPr>
      <w:bookmarkStart w:id="110" w:name="_Toc464631663"/>
      <w:bookmarkStart w:id="111" w:name="_Ref487636688"/>
      <w:bookmarkStart w:id="112" w:name="_Toc66354305"/>
      <w:bookmarkStart w:id="113" w:name="_Toc491939286"/>
      <w:r>
        <w:rPr/>
        <w:t>Entire Understanding and order for precedence</w:t>
      </w:r>
      <w:bookmarkEnd w:id="112"/>
      <w:bookmarkEnd w:id="113"/>
    </w:p>
    <w:p>
      <w:pPr>
        <w:pStyle w:val="ClauseIndent1"/>
        <w:numPr>
          <w:ilvl w:val="2"/>
          <w:numId w:val="1"/>
        </w:numPr>
        <w:rPr/>
      </w:pPr>
      <w:r>
        <w:rPr/>
        <w:t>In the event and to the extent of any inconsistency between these General conditions for the supply of services and the Purchase Order, the General conditions will prevail to the extent of the inconsistency. If the inconsistency remains incapable of resolution by reading down, the inconsistent provisions will be severed from the Purchase Order without otherwise diminishing the enforceability of the remaining provisions of the Purchase Order.</w:t>
      </w:r>
    </w:p>
    <w:p>
      <w:pPr>
        <w:pStyle w:val="ClauseIndent1"/>
        <w:numPr>
          <w:ilvl w:val="2"/>
          <w:numId w:val="1"/>
        </w:numPr>
        <w:rPr/>
      </w:pPr>
      <w:r>
        <w:rPr/>
        <w:t xml:space="preserve">This Agreement contains everything the parties have agreed in relation to the Services. No party can rely on an earlier written document or anything said or done by or on behalf of another party before this Agreement was executed. </w:t>
      </w:r>
    </w:p>
    <w:p>
      <w:pPr>
        <w:pStyle w:val="ClauseHeading1"/>
        <w:numPr>
          <w:ilvl w:val="0"/>
          <w:numId w:val="1"/>
        </w:numPr>
        <w:rPr/>
      </w:pPr>
      <w:r>
        <w:br w:type="column"/>
      </w:r>
      <w:bookmarkStart w:id="114" w:name="_Ref487636688"/>
      <w:bookmarkStart w:id="115" w:name="_Toc66354306"/>
      <w:bookmarkStart w:id="116" w:name="_Toc491939287"/>
      <w:bookmarkStart w:id="117" w:name="_Ref487729087"/>
      <w:r>
        <w:rPr/>
        <w:t>Survival</w:t>
      </w:r>
      <w:bookmarkEnd w:id="114"/>
      <w:bookmarkEnd w:id="115"/>
      <w:bookmarkEnd w:id="116"/>
      <w:bookmarkEnd w:id="117"/>
    </w:p>
    <w:p>
      <w:pPr>
        <w:pStyle w:val="Normal"/>
        <w:spacing w:lineRule="auto" w:line="240"/>
        <w:ind w:left="426" w:hanging="0"/>
        <w:rPr>
          <w:sz w:val="18"/>
          <w:szCs w:val="18"/>
        </w:rPr>
      </w:pPr>
      <w:r>
        <w:rPr>
          <w:sz w:val="18"/>
          <w:szCs w:val="18"/>
        </w:rPr>
        <w:t xml:space="preserve">Clauses </w:t>
      </w:r>
      <w:r>
        <w:rPr>
          <w:sz w:val="18"/>
          <w:szCs w:val="18"/>
        </w:rPr>
        <w:fldChar w:fldCharType="begin"/>
      </w:r>
      <w:r>
        <w:rPr>
          <w:sz w:val="18"/>
          <w:szCs w:val="18"/>
        </w:rPr>
        <w:instrText> REF _Ref487636481 \r \h </w:instrText>
      </w:r>
      <w:r>
        <w:rPr>
          <w:sz w:val="18"/>
          <w:szCs w:val="18"/>
        </w:rPr>
        <w:fldChar w:fldCharType="separate"/>
      </w:r>
      <w:r>
        <w:rPr>
          <w:sz w:val="18"/>
          <w:szCs w:val="18"/>
        </w:rPr>
        <w:t>3</w:t>
      </w:r>
      <w:r>
        <w:rPr>
          <w:sz w:val="18"/>
          <w:szCs w:val="18"/>
        </w:rPr>
        <w:fldChar w:fldCharType="end"/>
      </w:r>
      <w:r>
        <w:rPr>
          <w:sz w:val="18"/>
          <w:szCs w:val="18"/>
        </w:rPr>
        <w:t xml:space="preserve">, </w:t>
      </w:r>
      <w:r>
        <w:rPr>
          <w:sz w:val="18"/>
          <w:szCs w:val="18"/>
        </w:rPr>
        <w:fldChar w:fldCharType="begin"/>
      </w:r>
      <w:r>
        <w:rPr>
          <w:sz w:val="18"/>
          <w:szCs w:val="18"/>
        </w:rPr>
        <w:instrText> REF _Ref487636482 \r \h </w:instrText>
      </w:r>
      <w:r>
        <w:rPr>
          <w:sz w:val="18"/>
          <w:szCs w:val="18"/>
        </w:rPr>
        <w:fldChar w:fldCharType="separate"/>
      </w:r>
      <w:r>
        <w:rPr>
          <w:sz w:val="18"/>
          <w:szCs w:val="18"/>
        </w:rPr>
        <w:t>4</w:t>
      </w:r>
      <w:r>
        <w:rPr>
          <w:sz w:val="18"/>
          <w:szCs w:val="18"/>
        </w:rPr>
        <w:fldChar w:fldCharType="end"/>
      </w:r>
      <w:r>
        <w:rPr>
          <w:sz w:val="18"/>
          <w:szCs w:val="18"/>
        </w:rPr>
        <w:t xml:space="preserve">, </w:t>
      </w:r>
      <w:r>
        <w:rPr>
          <w:sz w:val="18"/>
          <w:szCs w:val="18"/>
        </w:rPr>
        <w:fldChar w:fldCharType="begin"/>
      </w:r>
      <w:r>
        <w:rPr>
          <w:sz w:val="18"/>
          <w:szCs w:val="18"/>
        </w:rPr>
        <w:instrText> REF _Ref487636590 \r \h </w:instrText>
      </w:r>
      <w:r>
        <w:rPr>
          <w:sz w:val="18"/>
          <w:szCs w:val="18"/>
        </w:rPr>
        <w:fldChar w:fldCharType="separate"/>
      </w:r>
      <w:r>
        <w:rPr>
          <w:sz w:val="18"/>
          <w:szCs w:val="18"/>
        </w:rPr>
        <w:t>7</w:t>
      </w:r>
      <w:r>
        <w:rPr>
          <w:sz w:val="18"/>
          <w:szCs w:val="18"/>
        </w:rPr>
        <w:fldChar w:fldCharType="end"/>
      </w:r>
      <w:r>
        <w:rPr>
          <w:sz w:val="18"/>
          <w:szCs w:val="18"/>
        </w:rPr>
        <w:t xml:space="preserve">, </w:t>
      </w:r>
      <w:r>
        <w:rPr>
          <w:sz w:val="18"/>
          <w:szCs w:val="18"/>
        </w:rPr>
        <w:fldChar w:fldCharType="begin"/>
      </w:r>
      <w:r>
        <w:rPr>
          <w:sz w:val="18"/>
          <w:szCs w:val="18"/>
        </w:rPr>
        <w:instrText> REF _Ref487648028 \r \h </w:instrText>
      </w:r>
      <w:r>
        <w:rPr>
          <w:sz w:val="18"/>
          <w:szCs w:val="18"/>
        </w:rPr>
        <w:fldChar w:fldCharType="separate"/>
      </w:r>
      <w:r>
        <w:rPr>
          <w:sz w:val="18"/>
          <w:szCs w:val="18"/>
        </w:rPr>
        <w:t>8</w:t>
      </w:r>
      <w:r>
        <w:rPr>
          <w:sz w:val="18"/>
          <w:szCs w:val="18"/>
        </w:rPr>
        <w:fldChar w:fldCharType="end"/>
      </w:r>
      <w:r>
        <w:rPr>
          <w:sz w:val="18"/>
          <w:szCs w:val="18"/>
        </w:rPr>
        <w:t xml:space="preserve">,  </w:t>
      </w:r>
      <w:r>
        <w:rPr>
          <w:sz w:val="18"/>
          <w:szCs w:val="18"/>
        </w:rPr>
        <w:fldChar w:fldCharType="begin"/>
      </w:r>
      <w:r>
        <w:rPr>
          <w:sz w:val="18"/>
          <w:szCs w:val="18"/>
        </w:rPr>
        <w:instrText> REF _Ref487558266 \r \h </w:instrText>
      </w:r>
      <w:r>
        <w:rPr>
          <w:sz w:val="18"/>
          <w:szCs w:val="18"/>
        </w:rPr>
        <w:fldChar w:fldCharType="separate"/>
      </w:r>
      <w:r>
        <w:rPr>
          <w:sz w:val="18"/>
          <w:szCs w:val="18"/>
        </w:rPr>
        <w:t>9</w:t>
      </w:r>
      <w:r>
        <w:rPr>
          <w:sz w:val="18"/>
          <w:szCs w:val="18"/>
        </w:rPr>
        <w:fldChar w:fldCharType="end"/>
      </w:r>
      <w:r>
        <w:rPr>
          <w:sz w:val="18"/>
          <w:szCs w:val="18"/>
        </w:rPr>
        <w:t xml:space="preserve">, </w:t>
      </w:r>
      <w:r>
        <w:rPr>
          <w:sz w:val="18"/>
          <w:szCs w:val="18"/>
        </w:rPr>
        <w:fldChar w:fldCharType="begin"/>
      </w:r>
      <w:r>
        <w:rPr>
          <w:sz w:val="18"/>
          <w:szCs w:val="18"/>
        </w:rPr>
        <w:instrText> REF _Ref487636621 \r \h </w:instrText>
      </w:r>
      <w:r>
        <w:rPr>
          <w:sz w:val="18"/>
          <w:szCs w:val="18"/>
        </w:rPr>
        <w:fldChar w:fldCharType="separate"/>
      </w:r>
      <w:r>
        <w:rPr>
          <w:sz w:val="18"/>
          <w:szCs w:val="18"/>
        </w:rPr>
        <w:t>10</w:t>
      </w:r>
      <w:r>
        <w:rPr>
          <w:sz w:val="18"/>
          <w:szCs w:val="18"/>
        </w:rPr>
        <w:fldChar w:fldCharType="end"/>
      </w:r>
      <w:r>
        <w:rPr>
          <w:sz w:val="18"/>
          <w:szCs w:val="18"/>
        </w:rPr>
        <w:t xml:space="preserve">, </w:t>
      </w:r>
      <w:r>
        <w:rPr>
          <w:sz w:val="18"/>
          <w:szCs w:val="18"/>
        </w:rPr>
        <w:fldChar w:fldCharType="begin"/>
      </w:r>
      <w:r>
        <w:rPr>
          <w:sz w:val="18"/>
          <w:szCs w:val="18"/>
        </w:rPr>
        <w:instrText> REF _Ref487637095 \r \h </w:instrText>
      </w:r>
      <w:r>
        <w:rPr>
          <w:sz w:val="18"/>
          <w:szCs w:val="18"/>
        </w:rPr>
        <w:fldChar w:fldCharType="separate"/>
      </w:r>
      <w:r>
        <w:rPr>
          <w:sz w:val="18"/>
          <w:szCs w:val="18"/>
        </w:rPr>
        <w:t>11(c)</w:t>
      </w:r>
      <w:r>
        <w:rPr>
          <w:sz w:val="18"/>
          <w:szCs w:val="18"/>
        </w:rPr>
        <w:fldChar w:fldCharType="end"/>
      </w:r>
      <w:r>
        <w:rPr>
          <w:sz w:val="18"/>
          <w:szCs w:val="18"/>
        </w:rPr>
        <w:t xml:space="preserve">, </w:t>
      </w:r>
      <w:r>
        <w:rPr>
          <w:sz w:val="18"/>
          <w:szCs w:val="18"/>
        </w:rPr>
        <w:fldChar w:fldCharType="begin"/>
      </w:r>
      <w:r>
        <w:rPr>
          <w:sz w:val="18"/>
          <w:szCs w:val="18"/>
        </w:rPr>
        <w:instrText> REF _Ref487648132 \r \h </w:instrText>
      </w:r>
      <w:r>
        <w:rPr>
          <w:sz w:val="18"/>
          <w:szCs w:val="18"/>
        </w:rPr>
        <w:fldChar w:fldCharType="separate"/>
      </w:r>
      <w:r>
        <w:rPr>
          <w:sz w:val="18"/>
          <w:szCs w:val="18"/>
        </w:rPr>
        <w:t>11(d)</w:t>
      </w:r>
      <w:r>
        <w:rPr>
          <w:sz w:val="18"/>
          <w:szCs w:val="18"/>
        </w:rPr>
        <w:fldChar w:fldCharType="end"/>
      </w:r>
      <w:r>
        <w:rPr>
          <w:sz w:val="18"/>
          <w:szCs w:val="18"/>
        </w:rPr>
        <w:t xml:space="preserve">, </w:t>
      </w:r>
      <w:r>
        <w:rPr>
          <w:sz w:val="18"/>
          <w:szCs w:val="18"/>
        </w:rPr>
        <w:fldChar w:fldCharType="begin"/>
      </w:r>
      <w:r>
        <w:rPr>
          <w:sz w:val="18"/>
          <w:szCs w:val="18"/>
        </w:rPr>
        <w:instrText> REF _Ref487648185 \r \h </w:instrText>
      </w:r>
      <w:r>
        <w:rPr>
          <w:sz w:val="18"/>
          <w:szCs w:val="18"/>
        </w:rPr>
        <w:fldChar w:fldCharType="separate"/>
      </w:r>
      <w:r>
        <w:rPr>
          <w:sz w:val="18"/>
          <w:szCs w:val="18"/>
        </w:rPr>
        <w:t>11(f)</w:t>
      </w:r>
      <w:r>
        <w:rPr>
          <w:sz w:val="18"/>
          <w:szCs w:val="18"/>
        </w:rPr>
        <w:fldChar w:fldCharType="end"/>
      </w:r>
      <w:r>
        <w:rPr>
          <w:sz w:val="18"/>
          <w:szCs w:val="18"/>
        </w:rPr>
        <w:t xml:space="preserve">, </w:t>
      </w:r>
      <w:r>
        <w:rPr>
          <w:sz w:val="18"/>
          <w:szCs w:val="18"/>
        </w:rPr>
        <w:fldChar w:fldCharType="begin"/>
      </w:r>
      <w:r>
        <w:rPr>
          <w:sz w:val="18"/>
          <w:szCs w:val="18"/>
        </w:rPr>
        <w:instrText> REF _Ref487637097 \r \h </w:instrText>
      </w:r>
      <w:r>
        <w:rPr>
          <w:sz w:val="18"/>
          <w:szCs w:val="18"/>
        </w:rPr>
        <w:fldChar w:fldCharType="separate"/>
      </w:r>
      <w:r>
        <w:rPr>
          <w:sz w:val="18"/>
          <w:szCs w:val="18"/>
        </w:rPr>
        <w:t>11(g)</w:t>
      </w:r>
      <w:r>
        <w:rPr>
          <w:sz w:val="18"/>
          <w:szCs w:val="18"/>
        </w:rPr>
        <w:fldChar w:fldCharType="end"/>
      </w:r>
      <w:r>
        <w:rPr>
          <w:sz w:val="18"/>
          <w:szCs w:val="18"/>
        </w:rPr>
        <w:t xml:space="preserve">, </w:t>
      </w:r>
      <w:r>
        <w:rPr>
          <w:sz w:val="18"/>
          <w:szCs w:val="18"/>
        </w:rPr>
        <w:fldChar w:fldCharType="begin"/>
      </w:r>
      <w:r>
        <w:rPr>
          <w:sz w:val="18"/>
          <w:szCs w:val="18"/>
        </w:rPr>
        <w:instrText> REF _Ref487648213 \r \h </w:instrText>
      </w:r>
      <w:r>
        <w:rPr>
          <w:sz w:val="18"/>
          <w:szCs w:val="18"/>
        </w:rPr>
        <w:fldChar w:fldCharType="separate"/>
      </w:r>
      <w:r>
        <w:rPr>
          <w:sz w:val="18"/>
          <w:szCs w:val="18"/>
        </w:rPr>
        <w:t>12(a)</w:t>
      </w:r>
      <w:r>
        <w:rPr>
          <w:sz w:val="18"/>
          <w:szCs w:val="18"/>
        </w:rPr>
        <w:fldChar w:fldCharType="end"/>
      </w:r>
      <w:r>
        <w:rPr>
          <w:sz w:val="18"/>
          <w:szCs w:val="18"/>
        </w:rPr>
        <w:t xml:space="preserve">, </w:t>
      </w:r>
      <w:r>
        <w:rPr>
          <w:sz w:val="18"/>
          <w:szCs w:val="18"/>
        </w:rPr>
        <w:fldChar w:fldCharType="begin"/>
      </w:r>
      <w:r>
        <w:rPr>
          <w:sz w:val="18"/>
          <w:szCs w:val="18"/>
        </w:rPr>
        <w:instrText> REF _Ref487636659 \r \h </w:instrText>
      </w:r>
      <w:r>
        <w:rPr>
          <w:sz w:val="18"/>
          <w:szCs w:val="18"/>
        </w:rPr>
        <w:fldChar w:fldCharType="separate"/>
      </w:r>
      <w:r>
        <w:rPr>
          <w:sz w:val="18"/>
          <w:szCs w:val="18"/>
        </w:rPr>
        <w:t>13</w:t>
      </w:r>
      <w:r>
        <w:rPr>
          <w:sz w:val="18"/>
          <w:szCs w:val="18"/>
        </w:rPr>
        <w:fldChar w:fldCharType="end"/>
      </w:r>
      <w:r>
        <w:rPr>
          <w:sz w:val="18"/>
          <w:szCs w:val="18"/>
        </w:rPr>
        <w:t xml:space="preserve">, </w:t>
      </w:r>
      <w:r>
        <w:rPr>
          <w:sz w:val="18"/>
          <w:szCs w:val="18"/>
        </w:rPr>
        <w:fldChar w:fldCharType="begin"/>
      </w:r>
      <w:r>
        <w:rPr>
          <w:sz w:val="18"/>
          <w:szCs w:val="18"/>
        </w:rPr>
        <w:instrText> REF _Ref487648234 \r \h </w:instrText>
      </w:r>
      <w:r>
        <w:rPr>
          <w:sz w:val="18"/>
          <w:szCs w:val="18"/>
        </w:rPr>
        <w:fldChar w:fldCharType="separate"/>
      </w:r>
      <w:r>
        <w:rPr>
          <w:sz w:val="18"/>
          <w:szCs w:val="18"/>
        </w:rPr>
        <w:t>15(b)</w:t>
      </w:r>
      <w:r>
        <w:rPr>
          <w:sz w:val="18"/>
          <w:szCs w:val="18"/>
        </w:rPr>
        <w:fldChar w:fldCharType="end"/>
      </w:r>
      <w:r>
        <w:rPr>
          <w:sz w:val="18"/>
          <w:szCs w:val="18"/>
        </w:rPr>
        <w:t xml:space="preserve">, </w:t>
      </w:r>
      <w:r>
        <w:rPr>
          <w:sz w:val="18"/>
          <w:szCs w:val="18"/>
        </w:rPr>
        <w:fldChar w:fldCharType="begin"/>
      </w:r>
      <w:r>
        <w:rPr>
          <w:sz w:val="18"/>
          <w:szCs w:val="18"/>
        </w:rPr>
        <w:instrText> REF _Ref487636840 \r \h </w:instrText>
      </w:r>
      <w:r>
        <w:rPr>
          <w:sz w:val="18"/>
          <w:szCs w:val="18"/>
        </w:rPr>
        <w:fldChar w:fldCharType="separate"/>
      </w:r>
      <w:r>
        <w:rPr>
          <w:sz w:val="18"/>
          <w:szCs w:val="18"/>
        </w:rPr>
        <w:t>18</w:t>
      </w:r>
      <w:r>
        <w:rPr>
          <w:sz w:val="18"/>
          <w:szCs w:val="18"/>
        </w:rPr>
        <w:fldChar w:fldCharType="end"/>
      </w:r>
      <w:r>
        <w:rPr>
          <w:sz w:val="18"/>
          <w:szCs w:val="18"/>
        </w:rPr>
        <w:t xml:space="preserve">, </w:t>
      </w:r>
      <w:r>
        <w:rPr>
          <w:sz w:val="18"/>
          <w:szCs w:val="18"/>
        </w:rPr>
        <w:fldChar w:fldCharType="begin"/>
      </w:r>
      <w:r>
        <w:rPr>
          <w:sz w:val="18"/>
          <w:szCs w:val="18"/>
        </w:rPr>
        <w:instrText> REF _Ref487636683 \r \h </w:instrText>
      </w:r>
      <w:r>
        <w:rPr>
          <w:sz w:val="18"/>
          <w:szCs w:val="18"/>
        </w:rPr>
        <w:fldChar w:fldCharType="separate"/>
      </w:r>
      <w:r>
        <w:rPr>
          <w:sz w:val="18"/>
          <w:szCs w:val="18"/>
        </w:rPr>
        <w:t>19</w:t>
      </w:r>
      <w:r>
        <w:rPr>
          <w:sz w:val="18"/>
          <w:szCs w:val="18"/>
        </w:rPr>
        <w:fldChar w:fldCharType="end"/>
      </w:r>
      <w:r>
        <w:rPr>
          <w:sz w:val="18"/>
          <w:szCs w:val="18"/>
        </w:rPr>
        <w:t xml:space="preserve">, </w:t>
      </w:r>
      <w:r>
        <w:rPr>
          <w:sz w:val="18"/>
          <w:szCs w:val="18"/>
        </w:rPr>
        <w:fldChar w:fldCharType="begin"/>
      </w:r>
      <w:r>
        <w:rPr>
          <w:sz w:val="18"/>
          <w:szCs w:val="18"/>
        </w:rPr>
        <w:instrText> REF _Ref487729087 \r \h </w:instrText>
      </w:r>
      <w:r>
        <w:rPr>
          <w:sz w:val="18"/>
          <w:szCs w:val="18"/>
        </w:rPr>
        <w:fldChar w:fldCharType="separate"/>
      </w:r>
      <w:r>
        <w:rPr>
          <w:sz w:val="18"/>
          <w:szCs w:val="18"/>
        </w:rPr>
        <w:t>21</w:t>
      </w:r>
      <w:r>
        <w:rPr>
          <w:sz w:val="18"/>
          <w:szCs w:val="18"/>
        </w:rPr>
        <w:fldChar w:fldCharType="end"/>
      </w:r>
      <w:r>
        <w:rPr>
          <w:sz w:val="18"/>
          <w:szCs w:val="18"/>
        </w:rPr>
        <w:t xml:space="preserve">, </w:t>
      </w:r>
      <w:r>
        <w:rPr>
          <w:sz w:val="18"/>
          <w:szCs w:val="18"/>
        </w:rPr>
        <w:fldChar w:fldCharType="begin"/>
      </w:r>
      <w:r>
        <w:rPr>
          <w:sz w:val="18"/>
          <w:szCs w:val="18"/>
        </w:rPr>
        <w:instrText> REF _Ref487636689 \r \h </w:instrText>
      </w:r>
      <w:r>
        <w:rPr>
          <w:sz w:val="18"/>
          <w:szCs w:val="18"/>
        </w:rPr>
        <w:fldChar w:fldCharType="separate"/>
      </w:r>
      <w:r>
        <w:rPr>
          <w:sz w:val="18"/>
          <w:szCs w:val="18"/>
        </w:rPr>
        <w:t>22</w:t>
      </w:r>
      <w:r>
        <w:rPr>
          <w:sz w:val="18"/>
          <w:szCs w:val="18"/>
        </w:rPr>
        <w:fldChar w:fldCharType="end"/>
      </w:r>
      <w:r>
        <w:rPr>
          <w:sz w:val="18"/>
          <w:szCs w:val="18"/>
        </w:rPr>
        <w:t xml:space="preserve"> and </w:t>
      </w:r>
      <w:r>
        <w:rPr>
          <w:sz w:val="18"/>
          <w:szCs w:val="18"/>
        </w:rPr>
        <w:fldChar w:fldCharType="begin"/>
      </w:r>
      <w:r>
        <w:rPr>
          <w:sz w:val="18"/>
          <w:szCs w:val="18"/>
        </w:rPr>
        <w:instrText> REF _Ref488334133 \r \h </w:instrText>
      </w:r>
      <w:r>
        <w:rPr>
          <w:sz w:val="18"/>
          <w:szCs w:val="18"/>
        </w:rPr>
        <w:fldChar w:fldCharType="separate"/>
      </w:r>
      <w:r>
        <w:rPr>
          <w:sz w:val="18"/>
          <w:szCs w:val="18"/>
        </w:rPr>
        <w:t>23</w:t>
      </w:r>
      <w:r>
        <w:rPr>
          <w:sz w:val="18"/>
          <w:szCs w:val="18"/>
        </w:rPr>
        <w:fldChar w:fldCharType="end"/>
      </w:r>
      <w:r>
        <w:rPr>
          <w:sz w:val="18"/>
          <w:szCs w:val="18"/>
        </w:rPr>
        <w:t xml:space="preserve"> of this Agreement survive the termination or expiry of this Agreement or the completion of the provision of Services and may be enforced at any time.</w:t>
      </w:r>
    </w:p>
    <w:p>
      <w:pPr>
        <w:pStyle w:val="ClauseHeading1"/>
        <w:numPr>
          <w:ilvl w:val="0"/>
          <w:numId w:val="1"/>
        </w:numPr>
        <w:rPr/>
      </w:pPr>
      <w:bookmarkStart w:id="118" w:name="_Ref487636689"/>
      <w:bookmarkStart w:id="119" w:name="_Toc66354307"/>
      <w:bookmarkStart w:id="120" w:name="_Toc491939288"/>
      <w:r>
        <w:rPr/>
        <w:t>Definitions</w:t>
      </w:r>
      <w:bookmarkEnd w:id="119"/>
      <w:bookmarkEnd w:id="120"/>
      <w:r>
        <w:rPr/>
        <w:t xml:space="preserve"> </w:t>
      </w:r>
      <w:bookmarkEnd w:id="110"/>
      <w:bookmarkEnd w:id="118"/>
    </w:p>
    <w:p>
      <w:pPr>
        <w:pStyle w:val="ClauseIndent11"/>
        <w:rPr/>
      </w:pPr>
      <w:r>
        <w:rPr/>
        <w:t>In this Agreement, unless the context otherwise requires:</w:t>
      </w:r>
    </w:p>
    <w:p>
      <w:pPr>
        <w:pStyle w:val="ClauseIndent11"/>
        <w:rPr/>
      </w:pPr>
      <w:r>
        <w:rPr>
          <w:b/>
        </w:rPr>
        <w:t>Agreement</w:t>
      </w:r>
      <w:r>
        <w:rPr/>
        <w:t xml:space="preserve"> means the agreement for the provision of the Services consisting of these General conditions for the provision of services and the Purchase Order.</w:t>
      </w:r>
    </w:p>
    <w:p>
      <w:pPr>
        <w:pStyle w:val="ClauseIndent11"/>
        <w:rPr/>
      </w:pPr>
      <w:r>
        <w:rPr>
          <w:b/>
        </w:rPr>
        <w:t>Business Day</w:t>
      </w:r>
      <w:r>
        <w:rPr/>
        <w:t xml:space="preserve"> means a day which is not a Saturday, Sunday or public holiday (being a public holiday appointed as such under the </w:t>
      </w:r>
      <w:r>
        <w:rPr>
          <w:i/>
        </w:rPr>
        <w:t>Public Holidays Act 1993</w:t>
      </w:r>
      <w:r>
        <w:rPr/>
        <w:t xml:space="preserve"> (Vic)) in Melbourne.</w:t>
      </w:r>
    </w:p>
    <w:p>
      <w:pPr>
        <w:pStyle w:val="ClauseIndent11"/>
        <w:rPr/>
      </w:pPr>
      <w:r>
        <w:rPr>
          <w:b/>
        </w:rPr>
        <w:t>Code of Practice</w:t>
      </w:r>
      <w:r>
        <w:rPr/>
        <w:t xml:space="preserve"> means a code of practice as defined in, and approved under, the </w:t>
      </w:r>
      <w:r>
        <w:rPr>
          <w:i/>
        </w:rPr>
        <w:t xml:space="preserve">Privacy and Data Protection Act 2014 </w:t>
      </w:r>
      <w:r>
        <w:rPr/>
        <w:t>(Vic).</w:t>
      </w:r>
    </w:p>
    <w:p>
      <w:pPr>
        <w:pStyle w:val="ClauseIndent11"/>
        <w:rPr/>
      </w:pPr>
      <w:r>
        <w:rPr>
          <w:b/>
        </w:rPr>
        <w:t>Completion Date</w:t>
      </w:r>
      <w:r>
        <w:rPr/>
        <w:t xml:space="preserve"> means the date by which the provision of the Services must be completed by the Supplier, as specified in the Purchase Order.</w:t>
      </w:r>
    </w:p>
    <w:p>
      <w:pPr>
        <w:pStyle w:val="ClauseIndent11"/>
        <w:rPr>
          <w:b/>
          <w:b/>
        </w:rPr>
      </w:pPr>
      <w:r>
        <w:rPr>
          <w:b/>
        </w:rPr>
        <w:t>Commencement Date</w:t>
      </w:r>
      <w:r>
        <w:rPr/>
        <w:t xml:space="preserve"> means the date on which the provision of the Services will commence, as specified in the Purchase Order.</w:t>
      </w:r>
    </w:p>
    <w:p>
      <w:pPr>
        <w:pStyle w:val="ClauseIndent11"/>
        <w:rPr/>
      </w:pPr>
      <w:r>
        <w:rPr>
          <w:b/>
        </w:rPr>
        <w:t>Confidential Information</w:t>
      </w:r>
      <w:r>
        <w:rPr/>
        <w:t xml:space="preserve"> means any technical, scientific, commercial, financial or other information of, about or in any way related to, the Organisation, including any information designated by the Organisation as confidential, which is disclosed, made available, communicated or delivered to the Supplier, but excludes information which:</w:t>
      </w:r>
    </w:p>
    <w:p>
      <w:pPr>
        <w:pStyle w:val="ClauseIndent1"/>
        <w:numPr>
          <w:ilvl w:val="2"/>
          <w:numId w:val="1"/>
        </w:numPr>
        <w:rPr/>
      </w:pPr>
      <w:r>
        <w:rPr/>
        <w:t>is in or which subsequently enters the public domain, other than as a result of a breach of an obligation of confidentiality;</w:t>
      </w:r>
    </w:p>
    <w:p>
      <w:pPr>
        <w:pStyle w:val="ClauseIndent1"/>
        <w:numPr>
          <w:ilvl w:val="2"/>
          <w:numId w:val="1"/>
        </w:numPr>
        <w:rPr/>
      </w:pPr>
      <w:r>
        <w:rPr/>
        <w:t>the Supplier can demonstrate was in its possession prior to the date of the Agreement;</w:t>
      </w:r>
    </w:p>
    <w:p>
      <w:pPr>
        <w:pStyle w:val="ClauseIndent1"/>
        <w:numPr>
          <w:ilvl w:val="2"/>
          <w:numId w:val="1"/>
        </w:numPr>
        <w:rPr/>
      </w:pPr>
      <w:r>
        <w:rPr/>
        <w:t>the Supplier can demonstrate was developed by it independently of any disclosures previously made by the Organisation;</w:t>
      </w:r>
    </w:p>
    <w:p>
      <w:pPr>
        <w:pStyle w:val="ClauseIndent1"/>
        <w:numPr>
          <w:ilvl w:val="2"/>
          <w:numId w:val="1"/>
        </w:numPr>
        <w:rPr/>
      </w:pPr>
      <w:r>
        <w:rPr/>
        <w:t>is lawfully obtained by the Supplier on a non-confidential basis from a person who is not bound by a confidentiality agreement with the Organisation or otherwise prohibited from disclosing the information to the Supplier; or</w:t>
      </w:r>
    </w:p>
    <w:p>
      <w:pPr>
        <w:pStyle w:val="ClauseIndent1"/>
        <w:numPr>
          <w:ilvl w:val="2"/>
          <w:numId w:val="1"/>
        </w:numPr>
        <w:rPr/>
      </w:pPr>
      <w:r>
        <w:rPr/>
        <w:t>is required to be disclosed pursuant to Law, court order or other legal process.</w:t>
      </w:r>
    </w:p>
    <w:p>
      <w:pPr>
        <w:pStyle w:val="ClauseIndent11"/>
        <w:rPr>
          <w:b/>
          <w:b/>
        </w:rPr>
      </w:pPr>
      <w:r>
        <w:rPr>
          <w:b/>
        </w:rPr>
        <w:t xml:space="preserve">Contract Materials </w:t>
      </w:r>
      <w:r>
        <w:rPr/>
        <w:t>means any materials (including any Intellectual Property) which the Supplier creates (whether alone or jointly with any other person) in performing the Services.</w:t>
      </w:r>
    </w:p>
    <w:p>
      <w:pPr>
        <w:pStyle w:val="ClauseIndent11"/>
        <w:rPr/>
      </w:pPr>
      <w:r>
        <w:rPr>
          <w:b/>
        </w:rPr>
        <w:t>Contract Publishing System</w:t>
      </w:r>
      <w:r>
        <w:rPr/>
        <w:t xml:space="preserve"> means the system of the Victorian Government requiring publication of details of contracts entered into by Victorian Government departments, bodies and agencies, including any replacement or amended system.</w:t>
      </w:r>
    </w:p>
    <w:p>
      <w:pPr>
        <w:pStyle w:val="ClauseIndent11"/>
        <w:rPr/>
      </w:pPr>
      <w:r>
        <w:rPr>
          <w:b/>
        </w:rPr>
        <w:t>Data</w:t>
      </w:r>
      <w:r>
        <w:rPr/>
        <w:t xml:space="preserve"> means all data, information, text, drawings, statistics, analysis and other materials embodied in any form which is:</w:t>
      </w:r>
    </w:p>
    <w:p>
      <w:pPr>
        <w:pStyle w:val="ClauseIndent1"/>
        <w:numPr>
          <w:ilvl w:val="2"/>
          <w:numId w:val="8"/>
        </w:numPr>
        <w:rPr/>
      </w:pPr>
      <w:r>
        <w:rPr/>
        <w:t>supplied by or on behalf of the Organisation in connection with this Agreement (</w:t>
      </w:r>
      <w:r>
        <w:rPr>
          <w:b/>
        </w:rPr>
        <w:t>Input Data</w:t>
      </w:r>
      <w:r>
        <w:rPr/>
        <w:t>); or</w:t>
      </w:r>
    </w:p>
    <w:p>
      <w:pPr>
        <w:pStyle w:val="ClauseIndent1"/>
        <w:numPr>
          <w:ilvl w:val="2"/>
          <w:numId w:val="1"/>
        </w:numPr>
        <w:rPr/>
      </w:pPr>
      <w:r>
        <w:rPr/>
        <w:t xml:space="preserve">generated, placed, stored, processed, retrieved, printed, accessed or produced utilising the Input Data, the Services or the deliverables. </w:t>
      </w:r>
    </w:p>
    <w:p>
      <w:pPr>
        <w:pStyle w:val="ClauseIndent11"/>
        <w:rPr/>
      </w:pPr>
      <w:r>
        <w:rPr>
          <w:b/>
        </w:rPr>
        <w:t>Fees</w:t>
      </w:r>
      <w:r>
        <w:rPr/>
        <w:t xml:space="preserve"> mean a fixed fee payable to the Supplier for the provision of the Services, as specified in the Agreement.</w:t>
      </w:r>
    </w:p>
    <w:p>
      <w:pPr>
        <w:pStyle w:val="ClauseIndent11"/>
        <w:rPr/>
      </w:pPr>
      <w:r>
        <w:rPr>
          <w:b/>
        </w:rPr>
        <w:t>GST Act</w:t>
      </w:r>
      <w:r>
        <w:rPr/>
        <w:t xml:space="preserve"> means the </w:t>
      </w:r>
      <w:r>
        <w:rPr>
          <w:i/>
        </w:rPr>
        <w:t>A New Tax System (Goods and Services Tax) Act 1999</w:t>
      </w:r>
      <w:r>
        <w:rPr/>
        <w:t xml:space="preserve"> (Cth). </w:t>
      </w:r>
    </w:p>
    <w:p>
      <w:pPr>
        <w:pStyle w:val="ClauseIndent11"/>
        <w:rPr/>
      </w:pPr>
      <w:r>
        <w:rPr>
          <w:b/>
        </w:rPr>
        <w:t xml:space="preserve">Health Privacy Principles </w:t>
      </w:r>
      <w:r>
        <w:rPr/>
        <w:t xml:space="preserve">means the health privacy principles set out in the </w:t>
      </w:r>
      <w:r>
        <w:rPr>
          <w:i/>
        </w:rPr>
        <w:t>Health Records Act 2001</w:t>
      </w:r>
      <w:r>
        <w:rPr/>
        <w:t xml:space="preserve"> (Vic).</w:t>
      </w:r>
    </w:p>
    <w:p>
      <w:pPr>
        <w:pStyle w:val="ClauseIndent11"/>
        <w:rPr>
          <w:b/>
          <w:b/>
        </w:rPr>
      </w:pPr>
      <w:r>
        <w:rPr>
          <w:b/>
        </w:rPr>
        <w:t xml:space="preserve">IBAC </w:t>
      </w:r>
      <w:r>
        <w:rPr/>
        <w:t xml:space="preserve">means the commission established under the </w:t>
      </w:r>
      <w:r>
        <w:rPr>
          <w:i/>
        </w:rPr>
        <w:t>Independent Broad-based Anti-corruption Commission Act 2011</w:t>
      </w:r>
      <w:r>
        <w:rPr/>
        <w:t xml:space="preserve"> (Vic) and includes any other organisation that may, from time to time, perform the functions of the commission.</w:t>
      </w:r>
    </w:p>
    <w:p>
      <w:pPr>
        <w:pStyle w:val="ClauseIndent11"/>
        <w:rPr/>
      </w:pPr>
      <w:r>
        <w:rPr>
          <w:b/>
        </w:rPr>
        <w:t>Information Privacy Principles</w:t>
      </w:r>
      <w:r>
        <w:rPr/>
        <w:t xml:space="preserve"> has the meaning given in the </w:t>
      </w:r>
      <w:r>
        <w:rPr>
          <w:i/>
        </w:rPr>
        <w:t>Privacy and Data Protection Act 2014</w:t>
      </w:r>
      <w:r>
        <w:rPr/>
        <w:t xml:space="preserve"> (Vic).</w:t>
      </w:r>
    </w:p>
    <w:p>
      <w:pPr>
        <w:pStyle w:val="ClauseIndent11"/>
        <w:rPr/>
      </w:pPr>
      <w:r>
        <w:rPr>
          <w:b/>
        </w:rPr>
        <w:t>Insolvency Event</w:t>
      </w:r>
      <w:r>
        <w:rPr/>
        <w:t xml:space="preserve"> means, in relation to the Supplier, any of the following:</w:t>
      </w:r>
    </w:p>
    <w:p>
      <w:pPr>
        <w:pStyle w:val="ClauseIndent1"/>
        <w:numPr>
          <w:ilvl w:val="2"/>
          <w:numId w:val="9"/>
        </w:numPr>
        <w:rPr/>
      </w:pPr>
      <w:r>
        <w:rPr/>
        <w:t xml:space="preserve">anything that reasonably indicates that there is a significant risk that the Supplier is or will become unable to pay debts as they fall due; </w:t>
      </w:r>
    </w:p>
    <w:p>
      <w:pPr>
        <w:pStyle w:val="ClauseIndent1"/>
        <w:numPr>
          <w:ilvl w:val="2"/>
          <w:numId w:val="1"/>
        </w:numPr>
        <w:rPr/>
      </w:pPr>
      <w:r>
        <w:rPr/>
        <w:t xml:space="preserve">a step being taken to have a receiver, receiver and manager, liquidator or provisional liquidator appointed to the Supplier or any of its assets; or </w:t>
      </w:r>
    </w:p>
    <w:p>
      <w:pPr>
        <w:pStyle w:val="ClauseIndent1"/>
        <w:numPr>
          <w:ilvl w:val="2"/>
          <w:numId w:val="1"/>
        </w:numPr>
        <w:rPr/>
      </w:pPr>
      <w:r>
        <w:rPr/>
        <w:t>the Supplier ceasing, or indicating that it is about to cease, carrying on business.</w:t>
      </w:r>
    </w:p>
    <w:p>
      <w:pPr>
        <w:pStyle w:val="ClauseIndent11"/>
        <w:rPr>
          <w:b/>
          <w:b/>
        </w:rPr>
      </w:pPr>
      <w:r>
        <w:rPr>
          <w:b/>
        </w:rPr>
        <w:t xml:space="preserve">Intellectual Property Rights </w:t>
      </w:r>
      <w:r>
        <w:rPr/>
        <w:t>means all intellectual property rights at any time recognised by law, including all present and future copyright, all proprietary rights in relation to inventions (including patents), registered and unregistered trademarks, trade secrets and know-how, registered designs, circuit layouts, and all other proprietary rights resulting from intellectual activity in the industrial, scientific, literary or artistic fields.</w:t>
      </w:r>
    </w:p>
    <w:p>
      <w:pPr>
        <w:pStyle w:val="ClauseIndent11"/>
        <w:rPr/>
      </w:pPr>
      <w:r>
        <w:rPr>
          <w:b/>
        </w:rPr>
        <w:t>Laws</w:t>
      </w:r>
      <w:r>
        <w:rPr/>
        <w:t xml:space="preserve"> means:</w:t>
      </w:r>
    </w:p>
    <w:p>
      <w:pPr>
        <w:pStyle w:val="ClauseIndent1"/>
        <w:numPr>
          <w:ilvl w:val="2"/>
          <w:numId w:val="10"/>
        </w:numPr>
        <w:rPr/>
      </w:pPr>
      <w:r>
        <w:rPr/>
        <w:t>any statute, regulation or subordinate legislation of the Commonwealth of Australia, the State or local or other government in force in the State of Victoria, irrespective of where enacted; and</w:t>
      </w:r>
    </w:p>
    <w:p>
      <w:pPr>
        <w:pStyle w:val="ClauseIndent1"/>
        <w:numPr>
          <w:ilvl w:val="2"/>
          <w:numId w:val="1"/>
        </w:numPr>
        <w:rPr/>
      </w:pPr>
      <w:r>
        <w:rPr/>
        <w:t>lawful requirements of any government or government department or other body or a governmental, semi-governmental, judicial, municipal, statutory or public entity or authority (including a statutory authority or a State-owned enterprise), a self-regulatory authority established under statute or a stock exchange (wherever created or located) or a person (whether autonomous or not) who is charged with the administration of a law.</w:t>
      </w:r>
    </w:p>
    <w:p>
      <w:pPr>
        <w:pStyle w:val="ClauseIndent11"/>
        <w:rPr/>
      </w:pPr>
      <w:r>
        <w:rPr>
          <w:b/>
        </w:rPr>
        <w:t>Moral Rights</w:t>
      </w:r>
      <w:r>
        <w:rPr/>
        <w:t xml:space="preserve"> has the meaning given to that term in the </w:t>
      </w:r>
      <w:r>
        <w:rPr>
          <w:i/>
        </w:rPr>
        <w:t>Copyright Act 1968</w:t>
      </w:r>
      <w:r>
        <w:rPr/>
        <w:t xml:space="preserve"> (Cth) and includes a right of a similar nature that is conferrable by statute, and that exists or comes into existence anywhere in the world.</w:t>
      </w:r>
    </w:p>
    <w:p>
      <w:pPr>
        <w:pStyle w:val="ClauseIndent11"/>
        <w:rPr/>
      </w:pPr>
      <w:r>
        <w:rPr>
          <w:b/>
        </w:rPr>
        <w:t>Organisation</w:t>
      </w:r>
      <w:r>
        <w:rPr/>
        <w:t xml:space="preserve"> means the department, body or agency of the State party to this Agreement. </w:t>
      </w:r>
    </w:p>
    <w:p>
      <w:pPr>
        <w:pStyle w:val="ClauseIndent11"/>
        <w:rPr/>
      </w:pPr>
      <w:r>
        <w:rPr>
          <w:b/>
        </w:rPr>
        <w:t>Overdue Amount</w:t>
      </w:r>
      <w:r>
        <w:rPr/>
        <w:t xml:space="preserve"> means an amount (or part thereof) that:</w:t>
      </w:r>
    </w:p>
    <w:p>
      <w:pPr>
        <w:pStyle w:val="ClauseIndent1"/>
        <w:numPr>
          <w:ilvl w:val="2"/>
          <w:numId w:val="11"/>
        </w:numPr>
        <w:rPr/>
      </w:pPr>
      <w:r>
        <w:rPr/>
        <w:t>is not, or is no longer, disputed;</w:t>
      </w:r>
    </w:p>
    <w:p>
      <w:pPr>
        <w:pStyle w:val="ClauseIndent1"/>
        <w:numPr>
          <w:ilvl w:val="2"/>
          <w:numId w:val="1"/>
        </w:numPr>
        <w:rPr/>
      </w:pPr>
      <w:r>
        <w:rPr/>
        <w:t xml:space="preserve">is due and owing under a tax invoice (as defined in the GST Act), properly rendered by the Supplier in accordance with this Agreement; and </w:t>
      </w:r>
    </w:p>
    <w:p>
      <w:pPr>
        <w:pStyle w:val="ClauseIndent1"/>
        <w:numPr>
          <w:ilvl w:val="2"/>
          <w:numId w:val="1"/>
        </w:numPr>
        <w:rPr/>
      </w:pPr>
      <w:r>
        <w:rPr/>
        <w:t>which has been outstanding for more than 30 days, or if clause 5 applies, 10 Business Days from the date of receipt of the correctly rendered tax invoice (or the date that the amount ceased to be disputed, as the case may be).</w:t>
      </w:r>
    </w:p>
    <w:p>
      <w:pPr>
        <w:pStyle w:val="ClauseIndent11"/>
        <w:rPr>
          <w:b/>
          <w:b/>
        </w:rPr>
      </w:pPr>
      <w:r>
        <w:rPr>
          <w:b/>
        </w:rPr>
        <w:t xml:space="preserve">Personnel </w:t>
      </w:r>
      <w:r>
        <w:rPr/>
        <w:t>of a party includes the officers, employees, agents, contractors and sub-contractors of that party.</w:t>
      </w:r>
    </w:p>
    <w:p>
      <w:pPr>
        <w:pStyle w:val="ClauseIndent11"/>
        <w:rPr>
          <w:b/>
          <w:b/>
        </w:rPr>
      </w:pPr>
      <w:r>
        <w:rPr>
          <w:b/>
        </w:rPr>
        <w:t>Pre</w:t>
        <w:noBreakHyphen/>
        <w:t xml:space="preserve">Existing Intellectual Property </w:t>
      </w:r>
      <w:r>
        <w:rPr/>
        <w:t>means all materials owned by or licensed to a party as at the date of the Agreement or developed by or on behalf of a party independently of the Agreement.</w:t>
      </w:r>
    </w:p>
    <w:p>
      <w:pPr>
        <w:pStyle w:val="ClauseIndent11"/>
        <w:rPr/>
      </w:pPr>
      <w:r>
        <w:rPr>
          <w:b/>
        </w:rPr>
        <w:t>Protective Data Security Standards</w:t>
      </w:r>
      <w:r>
        <w:rPr/>
        <w:t xml:space="preserve"> means any standard issued under Part 4 of the </w:t>
      </w:r>
      <w:r>
        <w:rPr>
          <w:i/>
        </w:rPr>
        <w:t>Privacy and Data Protection Act 2014</w:t>
      </w:r>
      <w:r>
        <w:rPr/>
        <w:t xml:space="preserve"> (Vic) and any policies or protocols issued by the Organisation to ensure compliance with those standards.</w:t>
      </w:r>
    </w:p>
    <w:p>
      <w:pPr>
        <w:pStyle w:val="ClauseIndent11"/>
        <w:rPr/>
      </w:pPr>
      <w:r>
        <w:rPr>
          <w:b/>
        </w:rPr>
        <w:t>Purchase Order</w:t>
      </w:r>
      <w:r>
        <w:rPr/>
        <w:t xml:space="preserve"> means any form of order or purchase issued by the Organisation for the provision of Services, made under or incorporating these General conditions for the provision of services.</w:t>
      </w:r>
    </w:p>
    <w:p>
      <w:pPr>
        <w:pStyle w:val="ClauseIndent11"/>
        <w:rPr/>
      </w:pPr>
      <w:r>
        <w:rPr>
          <w:b/>
        </w:rPr>
        <w:t>Public Sector Employee</w:t>
      </w:r>
      <w:r>
        <w:rPr/>
        <w:t xml:space="preserve"> has the same meaning as in section 4(1) of the </w:t>
      </w:r>
      <w:r>
        <w:rPr>
          <w:i/>
        </w:rPr>
        <w:t>Public Administration Act 2004</w:t>
      </w:r>
      <w:r>
        <w:rPr/>
        <w:t xml:space="preserve"> (Vic).</w:t>
      </w:r>
    </w:p>
    <w:p>
      <w:pPr>
        <w:pStyle w:val="ClauseIndent11"/>
        <w:rPr/>
      </w:pPr>
      <w:r>
        <w:rPr>
          <w:b/>
        </w:rPr>
        <w:t>Rates</w:t>
      </w:r>
      <w:r>
        <w:rPr/>
        <w:t xml:space="preserve"> means the monetary amount (whether charged on an hourly, daily, weekly or other time</w:t>
        <w:noBreakHyphen/>
        <w:t>related basis) payable to the Supplier for the provision of the Services, as specified in the Purchase Order.</w:t>
      </w:r>
    </w:p>
    <w:p>
      <w:pPr>
        <w:pStyle w:val="ClauseIndent11"/>
        <w:rPr/>
      </w:pPr>
      <w:r>
        <w:rPr>
          <w:b/>
        </w:rPr>
        <w:t>Services</w:t>
      </w:r>
      <w:r>
        <w:rPr/>
        <w:t xml:space="preserve"> means the services, and includes any deliverables provided as part of the services, specified in the Purchase Order and as provided under this Agreement.</w:t>
      </w:r>
    </w:p>
    <w:p>
      <w:pPr>
        <w:pStyle w:val="ClauseIndent11"/>
        <w:rPr>
          <w:b/>
          <w:b/>
        </w:rPr>
      </w:pPr>
      <w:r>
        <w:rPr>
          <w:b/>
        </w:rPr>
        <w:t xml:space="preserve">State </w:t>
      </w:r>
      <w:r>
        <w:rPr/>
        <w:t>means the Crown in right of the State of Victoria.</w:t>
      </w:r>
    </w:p>
    <w:p>
      <w:pPr>
        <w:pStyle w:val="ClauseIndent11"/>
        <w:rPr/>
      </w:pPr>
      <w:r>
        <w:rPr>
          <w:b/>
        </w:rPr>
        <w:t>Supplier</w:t>
      </w:r>
      <w:r>
        <w:rPr/>
        <w:t xml:space="preserve"> means the entity supplying the Services under the Agreement.</w:t>
      </w:r>
    </w:p>
    <w:p>
      <w:pPr>
        <w:pStyle w:val="ClauseIndent11"/>
        <w:keepLines/>
        <w:rPr/>
      </w:pPr>
      <w:r>
        <w:rPr>
          <w:b/>
        </w:rPr>
        <w:t>Supplier Code of Conduct</w:t>
      </w:r>
      <w:r>
        <w:rPr/>
        <w:t xml:space="preserve"> means the Code of Conduct issued by the Victorian Government for suppliers providing goods or services to the Victorian Government (as amended from time to time).</w:t>
      </w:r>
    </w:p>
    <w:p>
      <w:pPr>
        <w:pStyle w:val="ClauseIndent11"/>
        <w:rPr/>
      </w:pPr>
      <w:r>
        <w:rPr>
          <w:b/>
        </w:rPr>
        <w:t>Term</w:t>
      </w:r>
      <w:r>
        <w:rPr/>
        <w:t xml:space="preserve"> means the duration of this Agreement from the Commencement Date to the Completion Date or otherwise as extended in accordance with clause </w:t>
      </w:r>
      <w:r>
        <w:rPr/>
        <w:fldChar w:fldCharType="begin"/>
      </w:r>
      <w:r>
        <w:rPr/>
        <w:instrText> REF _Ref487647670 \r \h </w:instrText>
      </w:r>
      <w:r>
        <w:rPr/>
        <w:fldChar w:fldCharType="separate"/>
      </w:r>
      <w:r>
        <w:rPr/>
        <w:t>1(b)</w:t>
      </w:r>
      <w:r>
        <w:rPr/>
        <w:fldChar w:fldCharType="end"/>
      </w:r>
      <w:r>
        <w:rPr/>
        <w:t>.</w:t>
      </w:r>
    </w:p>
    <w:p>
      <w:pPr>
        <w:pStyle w:val="ClauseIndent11"/>
        <w:rPr/>
      </w:pPr>
      <w:r>
        <w:rPr>
          <w:b/>
        </w:rPr>
        <w:t>Victorian Public Entity</w:t>
      </w:r>
      <w:r>
        <w:rPr/>
        <w:t xml:space="preserve"> means:</w:t>
      </w:r>
    </w:p>
    <w:p>
      <w:pPr>
        <w:pStyle w:val="ClauseIndent1"/>
        <w:numPr>
          <w:ilvl w:val="2"/>
          <w:numId w:val="12"/>
        </w:numPr>
        <w:rPr/>
      </w:pPr>
      <w:r>
        <w:rPr/>
        <w:t xml:space="preserve">a public sector body as defined in section 4 of the </w:t>
      </w:r>
      <w:r>
        <w:rPr>
          <w:i/>
        </w:rPr>
        <w:t>Public Administration Act 2004</w:t>
      </w:r>
      <w:r>
        <w:rPr/>
        <w:t xml:space="preserve"> (Vic); </w:t>
      </w:r>
    </w:p>
    <w:p>
      <w:pPr>
        <w:pStyle w:val="ClauseIndent1"/>
        <w:numPr>
          <w:ilvl w:val="2"/>
          <w:numId w:val="1"/>
        </w:numPr>
        <w:rPr/>
      </w:pPr>
      <w:r>
        <w:rPr/>
        <w:t xml:space="preserve">a statutory corporation, a State owned company, a State body or a State business corporation as those terms are defined in the </w:t>
      </w:r>
      <w:r>
        <w:rPr>
          <w:i/>
        </w:rPr>
        <w:t>State Owned Enterprises Act 1992</w:t>
      </w:r>
      <w:r>
        <w:rPr/>
        <w:t xml:space="preserve"> (Vic); </w:t>
      </w:r>
    </w:p>
    <w:p>
      <w:pPr>
        <w:pStyle w:val="ClauseIndent1"/>
        <w:numPr>
          <w:ilvl w:val="2"/>
          <w:numId w:val="1"/>
        </w:numPr>
        <w:rPr/>
      </w:pPr>
      <w:r>
        <w:rPr/>
        <w:t xml:space="preserve">a "Council" as defined in the </w:t>
      </w:r>
      <w:r>
        <w:rPr>
          <w:i/>
        </w:rPr>
        <w:t>Local Government Act 1989</w:t>
      </w:r>
      <w:r>
        <w:rPr/>
        <w:t xml:space="preserve"> (Vic); or </w:t>
      </w:r>
    </w:p>
    <w:p>
      <w:pPr>
        <w:pStyle w:val="ClauseIndent1"/>
        <w:numPr>
          <w:ilvl w:val="2"/>
          <w:numId w:val="1"/>
        </w:numPr>
        <w:rPr/>
      </w:pPr>
      <w:r>
        <w:rPr/>
        <w:t xml:space="preserve">an entity which receives the majority of its funding from any of the entities listed in paragraphs (a) to (c) or any entity under the control of any of the entities listed in paragraphs (a) to (c). </w:t>
      </w:r>
    </w:p>
    <w:p>
      <w:pPr>
        <w:pStyle w:val="ClauseIndent11"/>
        <w:rPr/>
      </w:pPr>
      <w:r>
        <w:rPr>
          <w:b/>
        </w:rPr>
        <w:t>Victorian Public Sector Commission (VPSC)</w:t>
      </w:r>
      <w:r>
        <w:rPr>
          <w:b/>
          <w:lang w:eastAsia="en-US"/>
        </w:rPr>
        <w:t xml:space="preserve"> </w:t>
      </w:r>
      <w:r>
        <w:rPr>
          <w:b/>
        </w:rPr>
        <w:t>Code of Conduct</w:t>
      </w:r>
      <w:r>
        <w:rPr/>
        <w:t xml:space="preserve"> means the Code of Conduct for Victorian Public Sector Employees 2015 issued by the Public Sector Commission pursuant to section 61 of the </w:t>
      </w:r>
      <w:r>
        <w:rPr>
          <w:i/>
        </w:rPr>
        <w:t>Public Administration Act 2004</w:t>
      </w:r>
      <w:r>
        <w:rPr/>
        <w:t xml:space="preserve"> (Vic).</w:t>
      </w:r>
    </w:p>
    <w:p>
      <w:pPr>
        <w:pStyle w:val="ClauseHeading1"/>
        <w:numPr>
          <w:ilvl w:val="0"/>
          <w:numId w:val="1"/>
        </w:numPr>
        <w:rPr/>
      </w:pPr>
      <w:bookmarkStart w:id="121" w:name="_Toc66354308"/>
      <w:bookmarkStart w:id="122" w:name="_Toc491939289"/>
      <w:bookmarkStart w:id="123" w:name="_Ref488334133"/>
      <w:r>
        <w:rPr/>
        <w:t>Interpretation</w:t>
      </w:r>
      <w:bookmarkEnd w:id="121"/>
      <w:bookmarkEnd w:id="122"/>
      <w:bookmarkEnd w:id="123"/>
    </w:p>
    <w:p>
      <w:pPr>
        <w:pStyle w:val="Normal"/>
        <w:spacing w:lineRule="auto" w:line="240"/>
        <w:ind w:left="426" w:hanging="0"/>
        <w:rPr>
          <w:sz w:val="18"/>
          <w:szCs w:val="18"/>
        </w:rPr>
      </w:pPr>
      <w:r>
        <w:rPr>
          <w:sz w:val="18"/>
          <w:szCs w:val="18"/>
        </w:rPr>
        <w:t>Unless expressed to the contrary, in this Agreement:</w:t>
      </w:r>
    </w:p>
    <w:p>
      <w:pPr>
        <w:pStyle w:val="ClauseIndent1"/>
        <w:numPr>
          <w:ilvl w:val="2"/>
          <w:numId w:val="1"/>
        </w:numPr>
        <w:rPr/>
      </w:pPr>
      <w:r>
        <w:rPr/>
        <w:t>words in the singular include the plural and vice versa;</w:t>
      </w:r>
    </w:p>
    <w:p>
      <w:pPr>
        <w:pStyle w:val="ClauseIndent1"/>
        <w:numPr>
          <w:ilvl w:val="2"/>
          <w:numId w:val="1"/>
        </w:numPr>
        <w:rPr/>
      </w:pPr>
      <w:r>
        <w:rPr/>
        <w:t>any gender includes the other genders;</w:t>
      </w:r>
    </w:p>
    <w:p>
      <w:pPr>
        <w:pStyle w:val="ClauseIndent1"/>
        <w:numPr>
          <w:ilvl w:val="2"/>
          <w:numId w:val="1"/>
        </w:numPr>
        <w:rPr/>
      </w:pPr>
      <w:r>
        <w:rPr/>
        <w:t>if a word or phrase is defined its other grammatical forms have corresponding meanings;</w:t>
      </w:r>
    </w:p>
    <w:p>
      <w:pPr>
        <w:pStyle w:val="ClauseIndent1"/>
        <w:numPr>
          <w:ilvl w:val="2"/>
          <w:numId w:val="1"/>
        </w:numPr>
        <w:rPr/>
      </w:pPr>
      <w:r>
        <w:rPr/>
        <w:t>'includes’ and 'including' are not words of limitation;</w:t>
      </w:r>
    </w:p>
    <w:p>
      <w:pPr>
        <w:pStyle w:val="ClauseIndent1"/>
        <w:numPr>
          <w:ilvl w:val="2"/>
          <w:numId w:val="1"/>
        </w:numPr>
        <w:rPr/>
      </w:pPr>
      <w:r>
        <w:rPr/>
        <w:t>no rule of construction will apply to a clause to the disadvantage of a party merely because that party put forward the clause or would otherwise benefit from it;</w:t>
      </w:r>
    </w:p>
    <w:p>
      <w:pPr>
        <w:pStyle w:val="ClauseIndent1"/>
        <w:numPr>
          <w:ilvl w:val="2"/>
          <w:numId w:val="1"/>
        </w:numPr>
        <w:rPr/>
      </w:pPr>
      <w:r>
        <w:rPr/>
        <w:t>the obligations of the Supplier, if more than one person, under the Agreement are joint and several and each person constituting the Supplier acknowledges and agrees that it will be causally responsible for the acts and omissions, including breaches of the Agreement, of the other as if those acts or omissions were its own;</w:t>
      </w:r>
    </w:p>
    <w:p>
      <w:pPr>
        <w:pStyle w:val="ClauseIndent1"/>
        <w:numPr>
          <w:ilvl w:val="2"/>
          <w:numId w:val="1"/>
        </w:numPr>
        <w:rPr/>
      </w:pPr>
      <w:r>
        <w:rPr/>
        <w:t>the rights of the Supplier, if more than one person, under the Agreement, including the right to payment, jointly benefit each person constituting the Supplier (and not severally or jointly and severally); and</w:t>
      </w:r>
    </w:p>
    <w:p>
      <w:pPr>
        <w:pStyle w:val="ClauseIndent1"/>
        <w:numPr>
          <w:ilvl w:val="2"/>
          <w:numId w:val="1"/>
        </w:numPr>
        <w:rPr/>
      </w:pPr>
      <w:r>
        <w:rPr/>
        <w:t>a reference to:</w:t>
      </w:r>
    </w:p>
    <w:p>
      <w:pPr>
        <w:pStyle w:val="ClauseIndent2"/>
        <w:numPr>
          <w:ilvl w:val="3"/>
          <w:numId w:val="1"/>
        </w:numPr>
        <w:rPr/>
      </w:pPr>
      <w:r>
        <w:rPr/>
        <w:t>a person includes a partnership, joint venture, unincorporated association, corporation and a government or statutory body or authority;</w:t>
      </w:r>
    </w:p>
    <w:p>
      <w:pPr>
        <w:pStyle w:val="ClauseIndent2"/>
        <w:numPr>
          <w:ilvl w:val="3"/>
          <w:numId w:val="1"/>
        </w:numPr>
        <w:rPr/>
      </w:pPr>
      <w:r>
        <w:rPr/>
        <w:t>a person includes the person’s legal personal representatives, successors, assigns and persons substituted by novation;</w:t>
      </w:r>
    </w:p>
    <w:p>
      <w:pPr>
        <w:pStyle w:val="ClauseIndent2"/>
        <w:numPr>
          <w:ilvl w:val="3"/>
          <w:numId w:val="1"/>
        </w:numPr>
        <w:rPr/>
      </w:pPr>
      <w:r>
        <w:rPr/>
        <w:t>any law, legislation or legislative provision includes any statutory modification, amendment or re-enactment, and any subordinate legislation or regulations issued under that legislation or legislative provision; and</w:t>
      </w:r>
    </w:p>
    <w:p>
      <w:pPr>
        <w:pStyle w:val="ClauseIndent2"/>
        <w:numPr>
          <w:ilvl w:val="3"/>
          <w:numId w:val="1"/>
        </w:numPr>
        <w:rPr/>
      </w:pPr>
      <w:r>
        <w:rPr/>
        <w:t>a party or parties is a reference to the Organisation and the Supplier (as the case requires).</w:t>
      </w:r>
    </w:p>
    <w:p>
      <w:pPr>
        <w:sectPr>
          <w:type w:val="continuous"/>
          <w:pgSz w:w="11906" w:h="16838"/>
          <w:pgMar w:left="1008" w:right="1008" w:header="461" w:top="1440" w:footer="288" w:bottom="1152" w:gutter="0"/>
          <w:cols w:num="2" w:space="518" w:equalWidth="true" w:sep="false"/>
          <w:formProt w:val="false"/>
          <w:textDirection w:val="lrTb"/>
          <w:docGrid w:type="default" w:linePitch="360" w:charSpace="0"/>
        </w:sectPr>
      </w:pPr>
    </w:p>
    <w:p>
      <w:pPr>
        <w:pStyle w:val="Normal"/>
        <w:rPr/>
      </w:pPr>
      <w:r>
        <w:rPr/>
      </w:r>
    </w:p>
    <w:p>
      <w:pPr>
        <w:pStyle w:val="Normal"/>
        <w:rPr/>
      </w:pPr>
      <w:r>
        <w:rPr/>
      </w:r>
    </w:p>
    <w:p>
      <w:pPr>
        <w:pStyle w:val="Normal"/>
        <w:rPr/>
      </w:pPr>
      <w:r>
        <w:rPr/>
      </w:r>
    </w:p>
    <w:p>
      <w:pPr>
        <w:pStyle w:val="Normal"/>
        <w:rPr/>
      </w:pPr>
      <w:bookmarkStart w:id="124" w:name="_Hlk71557944"/>
      <w:r>
        <w:rPr/>
        <w:t>© State of Victoria 2021</w:t>
      </w:r>
    </w:p>
    <w:p>
      <w:pPr>
        <w:pStyle w:val="Normal"/>
        <w:spacing w:lineRule="auto" w:line="240" w:before="120" w:after="120"/>
        <w:rPr>
          <w:rFonts w:cs="Arial" w:cstheme="minorHAnsi"/>
          <w:color w:val="000000"/>
          <w:sz w:val="20"/>
          <w:szCs w:val="20"/>
        </w:rPr>
      </w:pPr>
      <w:hyperlink r:id="rId8">
        <w:r>
          <w:rPr/>
          <w:drawing>
            <wp:inline distT="0" distB="0" distL="0" distR="0">
              <wp:extent cx="1114425" cy="389890"/>
              <wp:effectExtent l="0" t="0" r="0" b="0"/>
              <wp:docPr id="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8" descr=""/>
                      <pic:cNvPicPr>
                        <a:picLocks noChangeAspect="1" noChangeArrowheads="1"/>
                      </pic:cNvPicPr>
                    </pic:nvPicPr>
                    <pic:blipFill>
                      <a:blip r:embed="rId9"/>
                      <a:stretch>
                        <a:fillRect/>
                      </a:stretch>
                    </pic:blipFill>
                    <pic:spPr bwMode="auto">
                      <a:xfrm>
                        <a:off x="0" y="0"/>
                        <a:ext cx="1114425" cy="389890"/>
                      </a:xfrm>
                      <a:prstGeom prst="rect">
                        <a:avLst/>
                      </a:prstGeom>
                    </pic:spPr>
                  </pic:pic>
                </a:graphicData>
              </a:graphic>
            </wp:inline>
          </w:drawing>
        </w:r>
        <w:r>
          <w:rPr>
            <w:rFonts w:cs="Arial" w:cstheme="minorHAnsi"/>
            <w:color w:val="000000"/>
            <w:sz w:val="20"/>
            <w:szCs w:val="20"/>
          </w:rPr>
          <w:t xml:space="preserve"> </w:t>
        </w:r>
      </w:hyperlink>
      <w:r>
        <w:rPr>
          <w:rFonts w:cs="Arial" w:cstheme="minorHAnsi"/>
          <w:color w:val="000000"/>
          <w:sz w:val="20"/>
          <w:szCs w:val="20"/>
        </w:rPr>
        <w:t xml:space="preserve"> </w:t>
      </w:r>
    </w:p>
    <w:p>
      <w:pPr>
        <w:pStyle w:val="Normal"/>
        <w:spacing w:lineRule="auto" w:line="240" w:before="120" w:after="120"/>
        <w:rPr>
          <w:rFonts w:cs="Arial" w:cstheme="minorHAnsi"/>
          <w:color w:val="000000"/>
          <w:sz w:val="20"/>
          <w:szCs w:val="20"/>
        </w:rPr>
      </w:pPr>
      <w:r>
        <w:rPr>
          <w:rFonts w:cs="Arial" w:cstheme="minorHAnsi"/>
          <w:color w:val="000000"/>
          <w:sz w:val="20"/>
          <w:szCs w:val="20"/>
        </w:rPr>
        <w:t xml:space="preserve">You are free to re-use this work under a </w:t>
      </w:r>
      <w:hyperlink r:id="rId10">
        <w:r>
          <w:rPr>
            <w:rFonts w:cs="Arial" w:cstheme="minorHAnsi"/>
            <w:color w:val="4F4F4F"/>
            <w:sz w:val="20"/>
            <w:szCs w:val="20"/>
          </w:rPr>
          <w:t>Creative Commons Attribution 4.0 licence</w:t>
        </w:r>
      </w:hyperlink>
      <w:r>
        <w:rPr>
          <w:rFonts w:cs="Arial" w:cstheme="minorHAnsi"/>
          <w:color w:val="4F4F4F"/>
          <w:sz w:val="20"/>
          <w:szCs w:val="20"/>
        </w:rPr>
        <w:t>,</w:t>
      </w:r>
      <w:r>
        <w:rPr>
          <w:rFonts w:cs="Arial" w:cstheme="minorHAnsi"/>
          <w:color w:val="000000"/>
          <w:sz w:val="20"/>
          <w:szCs w:val="20"/>
        </w:rPr>
        <w:t xml:space="preserve"> provided you credit the State of Victoria (Department of Treasury and Finance) as author, indicate if changes were made and comply with the other licence terms. The licence does not apply to any branding, including Government logos.</w:t>
      </w:r>
    </w:p>
    <w:p>
      <w:pPr>
        <w:pStyle w:val="Normal"/>
        <w:spacing w:before="100" w:after="100"/>
        <w:rPr>
          <w:rFonts w:cs="Arial" w:cstheme="minorHAnsi"/>
          <w:sz w:val="20"/>
          <w:szCs w:val="20"/>
        </w:rPr>
      </w:pPr>
      <w:r>
        <w:rPr>
          <w:rFonts w:cs="Arial" w:cstheme="minorHAnsi"/>
          <w:color w:val="000000"/>
          <w:sz w:val="20"/>
          <w:szCs w:val="20"/>
        </w:rPr>
        <w:t xml:space="preserve">Copyright queries may be directed to </w:t>
      </w:r>
      <w:hyperlink r:id="rId11">
        <w:r>
          <w:rPr>
            <w:rFonts w:cs="Arial" w:cstheme="minorHAnsi"/>
            <w:color w:val="4F4F4F"/>
            <w:sz w:val="20"/>
            <w:szCs w:val="20"/>
          </w:rPr>
          <w:t>IPpolicy@dtf.vic.gov.au</w:t>
        </w:r>
      </w:hyperlink>
      <w:bookmarkEnd w:id="124"/>
    </w:p>
    <w:sectPr>
      <w:type w:val="continuous"/>
      <w:pgSz w:w="11906" w:h="16838"/>
      <w:pgMar w:left="1008" w:right="1008" w:header="461" w:top="1440" w:footer="288" w:bottom="1152" w:gutter="0"/>
      <w:cols w:num="2" w:space="34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4" wp14:anchorId="457741B2">
              <wp:simplePos x="0" y="0"/>
              <wp:positionH relativeFrom="page">
                <wp:posOffset>0</wp:posOffset>
              </wp:positionH>
              <wp:positionV relativeFrom="page">
                <wp:posOffset>10229215</wp:posOffset>
              </wp:positionV>
              <wp:extent cx="7557770" cy="273685"/>
              <wp:effectExtent l="0" t="0" r="0" b="12700"/>
              <wp:wrapNone/>
              <wp:docPr id="2" name="MSIPCMc5be4e66b5a33940c1007ded" descr="{&quot;HashCode&quot;:-1267603503,&quot;Height&quot;:842.0,&quot;Width&quot;:595.0,&quot;Placement&quot;:&quot;Footer&quot;,&quot;Index&quot;:&quot;FirstPage&quot;,&quot;Section&quot;:1,&quot;Top&quot;:0.0,&quot;Left&quot;:0.0}"/>
              <a:graphic xmlns:a="http://schemas.openxmlformats.org/drawingml/2006/main">
                <a:graphicData uri="http://schemas.microsoft.com/office/word/2010/wordprocessingShape">
                  <wps:wsp>
                    <wps:cNvSpPr/>
                    <wps:spPr>
                      <a:xfrm>
                        <a:off x="0" y="0"/>
                        <a:ext cx="7557120" cy="272880"/>
                      </a:xfrm>
                      <a:prstGeom prst="rect">
                        <a:avLst/>
                      </a:prstGeom>
                      <a:noFill/>
                      <a:ln w="6480">
                        <a:noFill/>
                      </a:ln>
                    </wps:spPr>
                    <wps:style>
                      <a:lnRef idx="0"/>
                      <a:fillRef idx="0"/>
                      <a:effectRef idx="0"/>
                      <a:fontRef idx="minor"/>
                    </wps:style>
                    <wps:txbx>
                      <w:txbxContent>
                        <w:p>
                          <w:pPr>
                            <w:pStyle w:val="FrameContents"/>
                            <w:spacing w:before="0" w:after="0"/>
                            <w:rPr>
                              <w:rFonts w:ascii="Calibri" w:hAnsi="Calibri" w:cs="Calibri"/>
                              <w:color w:val="000000"/>
                            </w:rPr>
                          </w:pPr>
                          <w:r>
                            <w:rPr>
                              <w:rFonts w:cs="Calibri" w:ascii="Calibri" w:hAnsi="Calibri"/>
                              <w:color w:val="000000"/>
                            </w:rPr>
                            <w:t>OFFICIAL</w:t>
                          </w:r>
                        </w:p>
                      </w:txbxContent>
                    </wps:txbx>
                    <wps:bodyPr lIns="254160" tIns="0" bIns="0" anchor="b">
                      <a:noAutofit/>
                    </wps:bodyPr>
                  </wps:wsp>
                </a:graphicData>
              </a:graphic>
            </wp:anchor>
          </w:drawing>
        </mc:Choice>
        <mc:Fallback>
          <w:pict>
            <v:rect id="shape_0" ID="MSIPCMc5be4e66b5a33940c1007ded" stroked="f" style="position:absolute;margin-left:0pt;margin-top:805.45pt;width:595pt;height:21.45pt;mso-position-horizontal-relative:page;mso-position-vertical-relative:page" wp14:anchorId="457741B2">
              <w10:wrap type="square"/>
              <v:fill o:detectmouseclick="t" on="false"/>
              <v:stroke color="#3465a4" weight="6480" joinstyle="round" endcap="flat"/>
              <v:textbox>
                <w:txbxContent>
                  <w:p>
                    <w:pPr>
                      <w:pStyle w:val="FrameContents"/>
                      <w:spacing w:before="0" w:after="0"/>
                      <w:rPr>
                        <w:rFonts w:ascii="Calibri" w:hAnsi="Calibri" w:cs="Calibri"/>
                        <w:color w:val="000000"/>
                      </w:rPr>
                    </w:pPr>
                    <w:r>
                      <w:rPr>
                        <w:rFonts w:cs="Calibri" w:ascii="Calibri" w:hAnsi="Calibri"/>
                        <w:color w:val="000000"/>
                      </w:rPr>
                      <w:t>OFFICIAL</w:t>
                    </w:r>
                  </w:p>
                </w:txbxContent>
              </v:textbox>
            </v:rect>
          </w:pict>
        </mc:Fallback>
      </mc:AlternateContent>
      <w:drawing>
        <wp:anchor behindDoc="1" distT="0" distB="0" distL="0" distR="0" simplePos="0" locked="0" layoutInCell="1" allowOverlap="1" relativeHeight="2">
          <wp:simplePos x="0" y="0"/>
          <wp:positionH relativeFrom="column">
            <wp:posOffset>5288915</wp:posOffset>
          </wp:positionH>
          <wp:positionV relativeFrom="paragraph">
            <wp:posOffset>-419100</wp:posOffset>
          </wp:positionV>
          <wp:extent cx="799465" cy="457200"/>
          <wp:effectExtent l="0" t="0" r="0" b="0"/>
          <wp:wrapNone/>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1"/>
                  <a:stretch>
                    <a:fillRect/>
                  </a:stretch>
                </pic:blipFill>
                <pic:spPr bwMode="auto">
                  <a:xfrm>
                    <a:off x="0" y="0"/>
                    <a:ext cx="799465" cy="45720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6" wp14:anchorId="4D996FCD">
              <wp:simplePos x="0" y="0"/>
              <wp:positionH relativeFrom="page">
                <wp:posOffset>0</wp:posOffset>
              </wp:positionH>
              <wp:positionV relativeFrom="page">
                <wp:posOffset>10229215</wp:posOffset>
              </wp:positionV>
              <wp:extent cx="7557770" cy="273685"/>
              <wp:effectExtent l="0" t="0" r="0" b="12700"/>
              <wp:wrapNone/>
              <wp:docPr id="5" name="MSIPCM5ac548aca36c9f3d2174cec1_0" descr="{&quot;HashCode&quot;:-1267603503,&quot;Height&quot;:842.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57120" cy="272880"/>
                      </a:xfrm>
                      <a:prstGeom prst="rect">
                        <a:avLst/>
                      </a:prstGeom>
                      <a:noFill/>
                      <a:ln w="6480">
                        <a:noFill/>
                      </a:ln>
                    </wps:spPr>
                    <wps:style>
                      <a:lnRef idx="0"/>
                      <a:fillRef idx="0"/>
                      <a:effectRef idx="0"/>
                      <a:fontRef idx="minor"/>
                    </wps:style>
                    <wps:txbx>
                      <w:txbxContent>
                        <w:p>
                          <w:pPr>
                            <w:pStyle w:val="FrameContents"/>
                            <w:spacing w:before="0" w:after="0"/>
                            <w:rPr>
                              <w:rFonts w:ascii="Calibri" w:hAnsi="Calibri" w:cs="Calibri"/>
                              <w:color w:val="000000"/>
                            </w:rPr>
                          </w:pPr>
                          <w:r>
                            <w:rPr>
                              <w:rFonts w:cs="Calibri" w:ascii="Calibri" w:hAnsi="Calibri"/>
                              <w:color w:val="000000"/>
                            </w:rPr>
                            <w:t>OFFICIAL</w:t>
                          </w:r>
                        </w:p>
                      </w:txbxContent>
                    </wps:txbx>
                    <wps:bodyPr lIns="254160" tIns="0" bIns="0" anchor="b">
                      <a:noAutofit/>
                    </wps:bodyPr>
                  </wps:wsp>
                </a:graphicData>
              </a:graphic>
            </wp:anchor>
          </w:drawing>
        </mc:Choice>
        <mc:Fallback>
          <w:pict>
            <v:rect id="shape_0" ID="MSIPCM5ac548aca36c9f3d2174cec1_0" stroked="f" style="position:absolute;margin-left:0pt;margin-top:805.45pt;width:595pt;height:21.45pt;mso-position-horizontal-relative:page;mso-position-vertical-relative:page" wp14:anchorId="4D996FCD">
              <w10:wrap type="square"/>
              <v:fill o:detectmouseclick="t" on="false"/>
              <v:stroke color="#3465a4" weight="6480" joinstyle="round" endcap="flat"/>
              <v:textbox>
                <w:txbxContent>
                  <w:p>
                    <w:pPr>
                      <w:pStyle w:val="FrameContents"/>
                      <w:spacing w:before="0" w:after="0"/>
                      <w:rPr>
                        <w:rFonts w:ascii="Calibri" w:hAnsi="Calibri" w:cs="Calibri"/>
                        <w:color w:val="000000"/>
                      </w:rPr>
                    </w:pPr>
                    <w:r>
                      <w:rPr>
                        <w:rFonts w:cs="Calibri" w:ascii="Calibri" w:hAnsi="Calibri"/>
                        <w:color w:val="000000"/>
                      </w:rPr>
                      <w:t>OFFICIAL</w:t>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pacer"/>
      <w:rPr>
        <w:sz w:val="20"/>
        <w:szCs w:val="20"/>
      </w:rPr>
    </w:pPr>
    <w:r>
      <mc:AlternateContent>
        <mc:Choice Requires="wps">
          <w:drawing>
            <wp:anchor behindDoc="1" distT="0" distB="0" distL="0" distR="0" simplePos="0" locked="0" layoutInCell="1" allowOverlap="1" relativeHeight="12" wp14:anchorId="06A2D9D9">
              <wp:simplePos x="0" y="0"/>
              <wp:positionH relativeFrom="page">
                <wp:posOffset>0</wp:posOffset>
              </wp:positionH>
              <wp:positionV relativeFrom="page">
                <wp:posOffset>10229215</wp:posOffset>
              </wp:positionV>
              <wp:extent cx="7557770" cy="273685"/>
              <wp:effectExtent l="0" t="0" r="0" b="12700"/>
              <wp:wrapNone/>
              <wp:docPr id="7" name="MSIPCM9e4348c292acda6879d092d1" descr="{&quot;HashCode&quot;:-1267603503,&quot;Height&quot;:842.0,&quot;Width&quot;:595.0,&quot;Placement&quot;:&quot;Footer&quot;,&quot;Index&quot;:&quot;Primary&quot;,&quot;Section&quot;:3,&quot;Top&quot;:0.0,&quot;Left&quot;:0.0}"/>
              <a:graphic xmlns:a="http://schemas.openxmlformats.org/drawingml/2006/main">
                <a:graphicData uri="http://schemas.microsoft.com/office/word/2010/wordprocessingShape">
                  <wps:wsp>
                    <wps:cNvSpPr/>
                    <wps:spPr>
                      <a:xfrm>
                        <a:off x="0" y="0"/>
                        <a:ext cx="7557120" cy="272880"/>
                      </a:xfrm>
                      <a:prstGeom prst="rect">
                        <a:avLst/>
                      </a:prstGeom>
                      <a:noFill/>
                      <a:ln w="6480">
                        <a:noFill/>
                      </a:ln>
                    </wps:spPr>
                    <wps:style>
                      <a:lnRef idx="0"/>
                      <a:fillRef idx="0"/>
                      <a:effectRef idx="0"/>
                      <a:fontRef idx="minor"/>
                    </wps:style>
                    <wps:txbx>
                      <w:txbxContent>
                        <w:p>
                          <w:pPr>
                            <w:pStyle w:val="FrameContents"/>
                            <w:spacing w:before="0" w:after="0"/>
                            <w:rPr>
                              <w:rFonts w:ascii="Calibri" w:hAnsi="Calibri" w:cs="Calibri"/>
                              <w:color w:val="000000"/>
                            </w:rPr>
                          </w:pPr>
                          <w:r>
                            <w:rPr>
                              <w:rFonts w:cs="Calibri" w:ascii="Calibri" w:hAnsi="Calibri"/>
                              <w:color w:val="000000"/>
                            </w:rPr>
                            <w:t>OFFICIAL</w:t>
                          </w:r>
                        </w:p>
                      </w:txbxContent>
                    </wps:txbx>
                    <wps:bodyPr lIns="254160" tIns="0" bIns="0" anchor="b">
                      <a:noAutofit/>
                    </wps:bodyPr>
                  </wps:wsp>
                </a:graphicData>
              </a:graphic>
            </wp:anchor>
          </w:drawing>
        </mc:Choice>
        <mc:Fallback>
          <w:pict>
            <v:rect id="shape_0" ID="MSIPCM9e4348c292acda6879d092d1" stroked="f" style="position:absolute;margin-left:0pt;margin-top:805.45pt;width:595pt;height:21.45pt;mso-position-horizontal-relative:page;mso-position-vertical-relative:page" wp14:anchorId="06A2D9D9">
              <w10:wrap type="square"/>
              <v:fill o:detectmouseclick="t" on="false"/>
              <v:stroke color="#3465a4" weight="6480" joinstyle="round" endcap="flat"/>
              <v:textbox>
                <w:txbxContent>
                  <w:p>
                    <w:pPr>
                      <w:pStyle w:val="FrameContents"/>
                      <w:spacing w:before="0" w:after="0"/>
                      <w:rPr>
                        <w:rFonts w:ascii="Calibri" w:hAnsi="Calibri" w:cs="Calibri"/>
                        <w:color w:val="000000"/>
                      </w:rPr>
                    </w:pPr>
                    <w:r>
                      <w:rPr>
                        <w:rFonts w:cs="Calibri" w:ascii="Calibri" w:hAnsi="Calibri"/>
                        <w:color w:val="000000"/>
                      </w:rPr>
                      <w:t>OFFICIAL</w:t>
                    </w:r>
                  </w:p>
                </w:txbxContent>
              </v:textbox>
            </v:rect>
          </w:pict>
        </mc:Fallback>
      </mc:AlternateContent>
    </w:r>
    <w:r>
      <w:rPr>
        <w:sz w:val="20"/>
        <w:szCs w:val="20"/>
      </w:rPr>
      <w:t>General conditions for the provision of services – April 2021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0" distR="0" simplePos="0" locked="0" layoutInCell="1" allowOverlap="1" relativeHeight="3" wp14:anchorId="217FFFCE">
              <wp:simplePos x="0" y="0"/>
              <wp:positionH relativeFrom="page">
                <wp:posOffset>2540</wp:posOffset>
              </wp:positionH>
              <wp:positionV relativeFrom="page">
                <wp:posOffset>234315</wp:posOffset>
              </wp:positionV>
              <wp:extent cx="7562850" cy="530860"/>
              <wp:effectExtent l="0" t="0" r="1270" b="3175"/>
              <wp:wrapNone/>
              <wp:docPr id="1" name="Group 19"/>
              <a:graphic xmlns:a="http://schemas.openxmlformats.org/drawingml/2006/main">
                <a:graphicData uri="http://schemas.microsoft.com/office/word/2010/wordprocessingGroup">
                  <wpg:wgp>
                    <wpg:cNvGrpSpPr/>
                    <wpg:grpSpPr>
                      <a:xfrm>
                        <a:off x="0" y="0"/>
                        <a:ext cx="7562160" cy="530280"/>
                      </a:xfrm>
                    </wpg:grpSpPr>
                    <wpg:grpSp>
                      <wpg:cNvGrpSpPr/>
                      <wpg:grpSpPr>
                        <a:xfrm>
                          <a:off x="0" y="0"/>
                          <a:ext cx="7562160" cy="530280"/>
                        </a:xfrm>
                      </wpg:grpSpPr>
                      <wps:wsp>
                        <wps:cNvSpPr/>
                        <wps:spPr>
                          <a:xfrm>
                            <a:off x="6506280" y="0"/>
                            <a:ext cx="1055880" cy="530280"/>
                          </a:xfrm>
                          <a:prstGeom prst="rect">
                            <a:avLst/>
                          </a:prstGeom>
                          <a:solidFill>
                            <a:srgbClr val="e9e9e7"/>
                          </a:solidFill>
                          <a:ln>
                            <a:noFill/>
                          </a:ln>
                        </wps:spPr>
                        <wps:style>
                          <a:lnRef idx="0"/>
                          <a:fillRef idx="0"/>
                          <a:effectRef idx="0"/>
                          <a:fontRef idx="minor"/>
                        </wps:style>
                        <wps:bodyPr/>
                      </wps:wsp>
                      <wps:wsp>
                        <wps:cNvSpPr/>
                        <wps:spPr>
                          <a:xfrm>
                            <a:off x="0" y="0"/>
                            <a:ext cx="1285200" cy="530280"/>
                          </a:xfrm>
                          <a:prstGeom prst="rect">
                            <a:avLst/>
                          </a:prstGeom>
                          <a:solidFill>
                            <a:srgbClr val="85080f"/>
                          </a:solidFill>
                          <a:ln>
                            <a:noFill/>
                          </a:ln>
                        </wps:spPr>
                        <wps:style>
                          <a:lnRef idx="0"/>
                          <a:fillRef idx="0"/>
                          <a:effectRef idx="0"/>
                          <a:fontRef idx="minor"/>
                        </wps:style>
                        <wps:bodyPr/>
                      </wps:wsp>
                      <wps:wsp>
                        <wps:cNvSpPr/>
                        <wps:spPr>
                          <a:xfrm>
                            <a:off x="4107960" y="0"/>
                            <a:ext cx="522720" cy="530280"/>
                          </a:xfrm>
                          <a:custGeom>
                            <a:avLst/>
                            <a:gdLst/>
                            <a:ahLst/>
                            <a:rect l="l" t="t" r="r" b="b"/>
                            <a:pathLst>
                              <a:path w="824" h="835">
                                <a:moveTo>
                                  <a:pt x="824" y="0"/>
                                </a:moveTo>
                                <a:lnTo>
                                  <a:pt x="0" y="0"/>
                                </a:lnTo>
                                <a:lnTo>
                                  <a:pt x="400" y="835"/>
                                </a:lnTo>
                                <a:lnTo>
                                  <a:pt x="423" y="835"/>
                                </a:lnTo>
                                <a:lnTo>
                                  <a:pt x="824" y="0"/>
                                </a:lnTo>
                                <a:close/>
                                <a:moveTo>
                                  <a:pt x="824" y="0"/>
                                </a:moveTo>
                                <a:lnTo>
                                  <a:pt x="824" y="0"/>
                                </a:lnTo>
                                <a:close/>
                              </a:path>
                            </a:pathLst>
                          </a:custGeom>
                          <a:solidFill>
                            <a:srgbClr val="9c68ac"/>
                          </a:solidFill>
                          <a:ln>
                            <a:noFill/>
                          </a:ln>
                        </wps:spPr>
                        <wps:style>
                          <a:lnRef idx="0"/>
                          <a:fillRef idx="0"/>
                          <a:effectRef idx="0"/>
                          <a:fontRef idx="minor"/>
                        </wps:style>
                        <wps:bodyPr/>
                      </wps:wsp>
                      <wps:wsp>
                        <wps:cNvSpPr/>
                        <wps:spPr>
                          <a:xfrm>
                            <a:off x="3465720" y="0"/>
                            <a:ext cx="900360" cy="530280"/>
                          </a:xfrm>
                          <a:custGeom>
                            <a:avLst/>
                            <a:gdLst/>
                            <a:ahLst/>
                            <a:rect l="l" t="t" r="r" b="b"/>
                            <a:pathLst>
                              <a:path w="1419" h="835">
                                <a:moveTo>
                                  <a:pt x="1019" y="0"/>
                                </a:moveTo>
                                <a:lnTo>
                                  <a:pt x="0" y="0"/>
                                </a:lnTo>
                                <a:lnTo>
                                  <a:pt x="401" y="835"/>
                                </a:lnTo>
                                <a:lnTo>
                                  <a:pt x="1419" y="835"/>
                                </a:lnTo>
                                <a:lnTo>
                                  <a:pt x="1019" y="0"/>
                                </a:lnTo>
                                <a:close/>
                              </a:path>
                            </a:pathLst>
                          </a:custGeom>
                          <a:solidFill>
                            <a:srgbClr val="5d196a"/>
                          </a:solidFill>
                          <a:ln>
                            <a:noFill/>
                          </a:ln>
                        </wps:spPr>
                        <wps:style>
                          <a:lnRef idx="0"/>
                          <a:fillRef idx="0"/>
                          <a:effectRef idx="0"/>
                          <a:fontRef idx="minor"/>
                        </wps:style>
                        <wps:bodyPr/>
                      </wps:wsp>
                      <wps:wsp>
                        <wps:cNvSpPr/>
                        <wps:spPr>
                          <a:xfrm>
                            <a:off x="973440" y="0"/>
                            <a:ext cx="2761560" cy="530280"/>
                          </a:xfrm>
                          <a:custGeom>
                            <a:avLst/>
                            <a:gdLst/>
                            <a:ahLst/>
                            <a:rect l="l" t="t" r="r" b="b"/>
                            <a:pathLst>
                              <a:path w="4352" h="865">
                                <a:moveTo>
                                  <a:pt x="4352" y="865"/>
                                </a:moveTo>
                                <a:lnTo>
                                  <a:pt x="378" y="865"/>
                                </a:lnTo>
                                <a:lnTo>
                                  <a:pt x="0" y="0"/>
                                </a:lnTo>
                                <a:lnTo>
                                  <a:pt x="3974" y="0"/>
                                </a:lnTo>
                                <a:lnTo>
                                  <a:pt x="4352" y="865"/>
                                </a:lnTo>
                                <a:close/>
                              </a:path>
                            </a:pathLst>
                          </a:custGeom>
                          <a:solidFill>
                            <a:srgbClr val="b8222f"/>
                          </a:solidFill>
                          <a:ln>
                            <a:noFill/>
                          </a:ln>
                        </wps:spPr>
                        <wps:style>
                          <a:lnRef idx="0"/>
                          <a:fillRef idx="0"/>
                          <a:effectRef idx="0"/>
                          <a:fontRef idx="minor"/>
                        </wps:style>
                        <wps:bodyPr/>
                      </wps:wsp>
                      <wps:wsp>
                        <wps:cNvSpPr/>
                        <wps:spPr>
                          <a:xfrm>
                            <a:off x="4368960" y="0"/>
                            <a:ext cx="2761560" cy="530280"/>
                          </a:xfrm>
                          <a:custGeom>
                            <a:avLst/>
                            <a:gdLst/>
                            <a:ahLst/>
                            <a:rect l="l" t="t" r="r" b="b"/>
                            <a:pathLst>
                              <a:path w="4352" h="865">
                                <a:moveTo>
                                  <a:pt x="3975" y="865"/>
                                </a:moveTo>
                                <a:lnTo>
                                  <a:pt x="0" y="865"/>
                                </a:lnTo>
                                <a:lnTo>
                                  <a:pt x="378" y="0"/>
                                </a:lnTo>
                                <a:lnTo>
                                  <a:pt x="4352" y="0"/>
                                </a:lnTo>
                                <a:lnTo>
                                  <a:pt x="3975" y="865"/>
                                </a:lnTo>
                                <a:close/>
                              </a:path>
                            </a:pathLst>
                          </a:custGeom>
                          <a:solidFill>
                            <a:srgbClr val="782b8f"/>
                          </a:solidFill>
                          <a:ln>
                            <a:noFill/>
                          </a:ln>
                        </wps:spPr>
                        <wps:style>
                          <a:lnRef idx="0"/>
                          <a:fillRef idx="0"/>
                          <a:effectRef idx="0"/>
                          <a:fontRef idx="minor"/>
                        </wps:style>
                        <wps:bodyPr/>
                      </wps:wsp>
                    </wpg:grpSp>
                    <pic:pic xmlns:pic="http://schemas.openxmlformats.org/drawingml/2006/picture">
                      <pic:nvPicPr>
                        <pic:cNvPr id="0" name="Picture 3" descr=""/>
                        <pic:cNvPicPr/>
                      </pic:nvPicPr>
                      <pic:blipFill>
                        <a:blip r:embed="rId1"/>
                        <a:stretch/>
                      </pic:blipFill>
                      <pic:spPr>
                        <a:xfrm>
                          <a:off x="5025960" y="174600"/>
                          <a:ext cx="1168560" cy="214560"/>
                        </a:xfrm>
                        <a:prstGeom prst="rect">
                          <a:avLst/>
                        </a:prstGeom>
                        <a:ln>
                          <a:noFill/>
                        </a:ln>
                      </pic:spPr>
                    </pic:pic>
                  </wpg:wgp>
                </a:graphicData>
              </a:graphic>
            </wp:anchor>
          </w:drawing>
        </mc:Choice>
        <mc:Fallback>
          <w:pict>
            <v:group id="shape_0" alt="Group 19" style="position:absolute;margin-left:0.2pt;margin-top:18.45pt;width:595.45pt;height:41.75pt" coordorigin="4,369" coordsize="11909,835">
              <v:group id="shape_0" alt="Group 4" style="position:absolute;left:4;top:369;width:11909;height:835">
                <v:rect id="shape_0" ID="Rectangle 12" fillcolor="#e9e9e7" stroked="f" style="position:absolute;left:10250;top:369;width:1662;height:834;mso-position-horizontal-relative:page;mso-position-vertical-relative:page">
                  <w10:wrap type="none"/>
                  <v:fill o:detectmouseclick="t" type="solid" color2="#161618"/>
                  <v:stroke color="#3465a4" joinstyle="round" endcap="flat"/>
                </v:rect>
                <v:rect id="shape_0" ID="Rectangle 13" fillcolor="#85080f" stroked="f" style="position:absolute;left:4;top:369;width:2023;height:834;mso-position-horizontal-relative:page;mso-position-vertical-relative:page">
                  <w10:wrap type="none"/>
                  <v:fill o:detectmouseclick="t" type="solid" color2="#7af7f0"/>
                  <v:stroke color="#3465a4" joinstyle="round" endcap="flat"/>
                </v:rect>
              </v:group>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7919;top:644;width:1839;height:337;mso-position-horizontal-relative:page;mso-position-vertical-relative:page" type="shapetype_75">
                <v:imagedata r:id="rId1" o:detectmouseclick="t"/>
                <w10:wrap type="none"/>
                <v:stroke color="#3465a4" joinstyle="round" endcap="flat"/>
              </v:shape>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rPr>
        <w:sz w:val="22"/>
        <w:i w:val="false"/>
        <w:b/>
        <w:szCs w:val="22"/>
        <w:vanish w:val="false"/>
        <w:rFonts w:cs="Arial"/>
        <w:color w:val="auto"/>
      </w:rPr>
    </w:lvl>
    <w:lvl w:ilvl="1">
      <w:start w:val="1"/>
      <w:numFmt w:val="decimal"/>
      <w:lvlText w:val="%1.%2"/>
      <w:lvlJc w:val="left"/>
      <w:pPr>
        <w:tabs>
          <w:tab w:val="num" w:pos="432"/>
        </w:tabs>
        <w:ind w:left="432" w:hanging="432"/>
      </w:pPr>
      <w:rPr>
        <w:sz w:val="20"/>
        <w:i w:val="false"/>
        <w:b/>
        <w:szCs w:val="28"/>
        <w:vanish w:val="false"/>
        <w:rFonts w:cs="Arial"/>
        <w:color w:val="auto"/>
      </w:rPr>
    </w:lvl>
    <w:lvl w:ilvl="2">
      <w:start w:val="1"/>
      <w:numFmt w:val="lowerLetter"/>
      <w:lvlText w:val="(%3)"/>
      <w:lvlJc w:val="left"/>
      <w:pPr>
        <w:tabs>
          <w:tab w:val="num" w:pos="936"/>
        </w:tabs>
        <w:ind w:left="936" w:hanging="504"/>
      </w:pPr>
      <w:rPr>
        <w:sz w:val="19"/>
        <w:i w:val="false"/>
        <w:b w:val="false"/>
        <w:szCs w:val="22"/>
        <w:vanish w:val="false"/>
        <w:rFonts w:cs="Arial"/>
        <w:color w:val="auto"/>
      </w:rPr>
    </w:lvl>
    <w:lvl w:ilvl="3">
      <w:start w:val="1"/>
      <w:numFmt w:val="lowerRoman"/>
      <w:lvlText w:val="(%4)"/>
      <w:lvlJc w:val="left"/>
      <w:pPr>
        <w:tabs>
          <w:tab w:val="num" w:pos="1440"/>
        </w:tabs>
        <w:ind w:left="1440" w:hanging="504"/>
      </w:pPr>
      <w:rPr>
        <w:sz w:val="19"/>
        <w:i w:val="false"/>
        <w:b w:val="false"/>
        <w:vanish w:val="false"/>
        <w:rFonts w:cs="Arial"/>
        <w:color w:val="auto"/>
      </w:rPr>
    </w:lvl>
    <w:lvl w:ilvl="4">
      <w:start w:val="1"/>
      <w:numFmt w:val="upperLetter"/>
      <w:lvlText w:val="%5."/>
      <w:lvlJc w:val="left"/>
      <w:pPr>
        <w:tabs>
          <w:tab w:val="num" w:pos="1814"/>
        </w:tabs>
        <w:ind w:left="2325" w:hanging="511"/>
      </w:pPr>
      <w:rPr>
        <w:sz w:val="22"/>
        <w:i w:val="false"/>
        <w:b w:val="false"/>
        <w:vanish w:val="false"/>
        <w:rFonts w:cs="Arial"/>
        <w:color w:val="auto"/>
      </w:rPr>
    </w:lvl>
    <w:lvl w:ilvl="5">
      <w:start w:val="1"/>
      <w:numFmt w:val="lowerRoman"/>
      <w:lvlText w:val="(%6)"/>
      <w:lvlJc w:val="left"/>
      <w:pPr>
        <w:tabs>
          <w:tab w:val="num" w:pos="2376"/>
        </w:tabs>
        <w:ind w:left="2376" w:hanging="432"/>
      </w:pPr>
      <w:rPr>
        <w:sz w:val="22"/>
        <w:i w:val="false"/>
        <w:b w:val="false"/>
        <w:vanish w:val="false"/>
        <w:color w:val="auto"/>
      </w:rPr>
    </w:lvl>
    <w:lvl w:ilvl="6">
      <w:start w:val="1"/>
      <w:numFmt w:val="decimal"/>
      <w:lvlText w:val="%7."/>
      <w:lvlJc w:val="left"/>
      <w:pPr>
        <w:tabs>
          <w:tab w:val="num" w:pos="792"/>
        </w:tabs>
        <w:ind w:left="794" w:hanging="794"/>
      </w:pPr>
      <w:rPr>
        <w:sz w:val="22"/>
        <w:i w:val="false"/>
        <w:b/>
        <w:vanish w:val="false"/>
        <w:color w:val="auto"/>
      </w:rPr>
    </w:lvl>
    <w:lvl w:ilvl="7">
      <w:start w:val="1"/>
      <w:numFmt w:val="decimal"/>
      <w:suff w:val="nothing"/>
      <w:lvlText w:val=""/>
      <w:lvlJc w:val="left"/>
      <w:pPr>
        <w:tabs>
          <w:tab w:val="num" w:pos="0"/>
        </w:tabs>
        <w:ind w:left="794" w:hanging="0"/>
      </w:pPr>
      <w:rPr>
        <w:sz w:val="22"/>
        <w:i w:val="false"/>
        <w:b/>
        <w:vanish w:val="false"/>
        <w:color w:val="404040"/>
      </w:rPr>
    </w:lvl>
    <w:lvl w:ilvl="8">
      <w:start w:val="1"/>
      <w:numFmt w:val="decimal"/>
      <w:suff w:val="nothing"/>
      <w:lvlText w:val=""/>
      <w:lvlJc w:val="left"/>
      <w:pPr>
        <w:tabs>
          <w:tab w:val="num" w:pos="0"/>
        </w:tabs>
        <w:ind w:left="794" w:hanging="0"/>
      </w:pPr>
      <w:rPr>
        <w:sz w:val="22"/>
        <w:i w:val="false"/>
        <w:b/>
        <w:vanish w:val="false"/>
        <w:color w:val="404040"/>
      </w:rPr>
    </w:lvl>
  </w:abstractNum>
  <w:abstractNum w:abstractNumId="2">
    <w:lvl w:ilvl="0">
      <w:start w:val="1"/>
      <w:numFmt w:val="decimal"/>
      <w:lvlText w:val="%1."/>
      <w:lvlJc w:val="left"/>
      <w:pPr>
        <w:tabs>
          <w:tab w:val="num" w:pos="432"/>
        </w:tabs>
        <w:ind w:left="432" w:hanging="432"/>
      </w:pPr>
      <w:rPr>
        <w:sz w:val="22"/>
        <w:i w:val="false"/>
        <w:b/>
        <w:szCs w:val="22"/>
        <w:vanish w:val="false"/>
        <w:rFonts w:cs="Arial"/>
        <w:color w:val="auto"/>
      </w:rPr>
    </w:lvl>
    <w:lvl w:ilvl="1">
      <w:start w:val="1"/>
      <w:numFmt w:val="decimal"/>
      <w:lvlText w:val="%1.%2"/>
      <w:lvlJc w:val="left"/>
      <w:pPr>
        <w:tabs>
          <w:tab w:val="num" w:pos="432"/>
        </w:tabs>
        <w:ind w:left="432" w:hanging="432"/>
      </w:pPr>
      <w:rPr>
        <w:sz w:val="20"/>
        <w:i w:val="false"/>
        <w:b/>
        <w:szCs w:val="28"/>
        <w:vanish w:val="false"/>
        <w:rFonts w:cs="Arial"/>
        <w:color w:val="auto"/>
      </w:rPr>
    </w:lvl>
    <w:lvl w:ilvl="2">
      <w:start w:val="1"/>
      <w:numFmt w:val="lowerLetter"/>
      <w:lvlText w:val="(%3)"/>
      <w:lvlJc w:val="left"/>
      <w:pPr>
        <w:tabs>
          <w:tab w:val="num" w:pos="936"/>
        </w:tabs>
        <w:ind w:left="936" w:hanging="504"/>
      </w:pPr>
      <w:rPr>
        <w:sz w:val="19"/>
        <w:i w:val="false"/>
        <w:b w:val="false"/>
        <w:szCs w:val="22"/>
        <w:vanish w:val="false"/>
        <w:rFonts w:cs="Arial"/>
        <w:color w:val="auto"/>
      </w:rPr>
    </w:lvl>
    <w:lvl w:ilvl="3">
      <w:start w:val="1"/>
      <w:numFmt w:val="lowerRoman"/>
      <w:lvlText w:val="(%4)"/>
      <w:lvlJc w:val="left"/>
      <w:pPr>
        <w:tabs>
          <w:tab w:val="num" w:pos="1440"/>
        </w:tabs>
        <w:ind w:left="1440" w:hanging="504"/>
      </w:pPr>
      <w:rPr>
        <w:sz w:val="19"/>
        <w:i w:val="false"/>
        <w:b w:val="false"/>
        <w:vanish w:val="false"/>
        <w:rFonts w:cs="Arial"/>
        <w:color w:val="auto"/>
      </w:rPr>
    </w:lvl>
    <w:lvl w:ilvl="4">
      <w:start w:val="1"/>
      <w:numFmt w:val="upperLetter"/>
      <w:lvlText w:val="%5."/>
      <w:lvlJc w:val="left"/>
      <w:pPr>
        <w:tabs>
          <w:tab w:val="num" w:pos="1814"/>
        </w:tabs>
        <w:ind w:left="2325" w:hanging="511"/>
      </w:pPr>
      <w:rPr>
        <w:sz w:val="22"/>
        <w:i w:val="false"/>
        <w:b w:val="false"/>
        <w:vanish w:val="false"/>
        <w:rFonts w:cs="Arial"/>
        <w:color w:val="auto"/>
      </w:rPr>
    </w:lvl>
    <w:lvl w:ilvl="5">
      <w:start w:val="1"/>
      <w:numFmt w:val="lowerRoman"/>
      <w:lvlText w:val="(%6)"/>
      <w:lvlJc w:val="left"/>
      <w:pPr>
        <w:tabs>
          <w:tab w:val="num" w:pos="2376"/>
        </w:tabs>
        <w:ind w:left="2376" w:hanging="432"/>
      </w:pPr>
      <w:rPr>
        <w:sz w:val="22"/>
        <w:i w:val="false"/>
        <w:b w:val="false"/>
        <w:vanish w:val="false"/>
        <w:color w:val="auto"/>
      </w:rPr>
    </w:lvl>
    <w:lvl w:ilvl="6">
      <w:start w:val="1"/>
      <w:numFmt w:val="decimal"/>
      <w:lvlText w:val="%7."/>
      <w:lvlJc w:val="left"/>
      <w:pPr>
        <w:tabs>
          <w:tab w:val="num" w:pos="792"/>
        </w:tabs>
        <w:ind w:left="794" w:hanging="794"/>
      </w:pPr>
      <w:rPr>
        <w:sz w:val="22"/>
        <w:i w:val="false"/>
        <w:b/>
        <w:vanish w:val="false"/>
        <w:color w:val="auto"/>
      </w:rPr>
    </w:lvl>
    <w:lvl w:ilvl="7">
      <w:start w:val="1"/>
      <w:numFmt w:val="decimal"/>
      <w:suff w:val="nothing"/>
      <w:lvlText w:val=""/>
      <w:lvlJc w:val="left"/>
      <w:pPr>
        <w:tabs>
          <w:tab w:val="num" w:pos="0"/>
        </w:tabs>
        <w:ind w:left="794" w:hanging="0"/>
      </w:pPr>
      <w:rPr>
        <w:sz w:val="22"/>
        <w:i w:val="false"/>
        <w:b/>
        <w:vanish w:val="false"/>
        <w:color w:val="404040"/>
      </w:rPr>
    </w:lvl>
    <w:lvl w:ilvl="8">
      <w:start w:val="1"/>
      <w:numFmt w:val="decimal"/>
      <w:suff w:val="nothing"/>
      <w:lvlText w:val=""/>
      <w:lvlJc w:val="left"/>
      <w:pPr>
        <w:tabs>
          <w:tab w:val="num" w:pos="0"/>
        </w:tabs>
        <w:ind w:left="794" w:hanging="0"/>
      </w:pPr>
      <w:rPr>
        <w:sz w:val="22"/>
        <w:i w:val="false"/>
        <w:b/>
        <w:vanish w:val="false"/>
        <w:color w:val="404040"/>
      </w:rPr>
    </w:lvl>
  </w:abstractNum>
  <w:abstractNum w:abstractNumId="3">
    <w:lvl w:ilvl="0">
      <w:start w:val="1"/>
      <w:numFmt w:val="decimal"/>
      <w:lvlText w:val="%1."/>
      <w:lvlJc w:val="left"/>
      <w:pPr>
        <w:tabs>
          <w:tab w:val="num" w:pos="432"/>
        </w:tabs>
        <w:ind w:left="432" w:hanging="432"/>
      </w:pPr>
      <w:rPr>
        <w:sz w:val="22"/>
        <w:i w:val="false"/>
        <w:b/>
        <w:szCs w:val="22"/>
        <w:vanish w:val="false"/>
        <w:rFonts w:cs="Arial"/>
        <w:color w:val="auto"/>
      </w:rPr>
    </w:lvl>
    <w:lvl w:ilvl="1">
      <w:start w:val="1"/>
      <w:numFmt w:val="decimal"/>
      <w:lvlText w:val="%1.%2"/>
      <w:lvlJc w:val="left"/>
      <w:pPr>
        <w:tabs>
          <w:tab w:val="num" w:pos="432"/>
        </w:tabs>
        <w:ind w:left="432" w:hanging="432"/>
      </w:pPr>
      <w:rPr>
        <w:sz w:val="20"/>
        <w:i w:val="false"/>
        <w:b/>
        <w:szCs w:val="28"/>
        <w:vanish w:val="false"/>
        <w:rFonts w:cs="Arial"/>
        <w:color w:val="auto"/>
      </w:rPr>
    </w:lvl>
    <w:lvl w:ilvl="2">
      <w:start w:val="1"/>
      <w:numFmt w:val="lowerLetter"/>
      <w:lvlText w:val="(%3)"/>
      <w:lvlJc w:val="left"/>
      <w:pPr>
        <w:tabs>
          <w:tab w:val="num" w:pos="936"/>
        </w:tabs>
        <w:ind w:left="936" w:hanging="504"/>
      </w:pPr>
      <w:rPr>
        <w:sz w:val="19"/>
        <w:i w:val="false"/>
        <w:b w:val="false"/>
        <w:szCs w:val="22"/>
        <w:vanish w:val="false"/>
        <w:rFonts w:cs="Arial"/>
        <w:color w:val="auto"/>
      </w:rPr>
    </w:lvl>
    <w:lvl w:ilvl="3">
      <w:start w:val="1"/>
      <w:numFmt w:val="lowerRoman"/>
      <w:lvlText w:val="(%4)"/>
      <w:lvlJc w:val="left"/>
      <w:pPr>
        <w:tabs>
          <w:tab w:val="num" w:pos="1440"/>
        </w:tabs>
        <w:ind w:left="1440" w:hanging="504"/>
      </w:pPr>
      <w:rPr>
        <w:sz w:val="19"/>
        <w:i w:val="false"/>
        <w:b w:val="false"/>
        <w:vanish w:val="false"/>
        <w:rFonts w:cs="Arial"/>
        <w:color w:val="auto"/>
      </w:rPr>
    </w:lvl>
    <w:lvl w:ilvl="4">
      <w:start w:val="1"/>
      <w:numFmt w:val="upperLetter"/>
      <w:lvlText w:val="%5."/>
      <w:lvlJc w:val="left"/>
      <w:pPr>
        <w:tabs>
          <w:tab w:val="num" w:pos="1814"/>
        </w:tabs>
        <w:ind w:left="2325" w:hanging="511"/>
      </w:pPr>
      <w:rPr>
        <w:sz w:val="22"/>
        <w:i w:val="false"/>
        <w:b w:val="false"/>
        <w:vanish w:val="false"/>
        <w:rFonts w:cs="Arial"/>
        <w:color w:val="auto"/>
      </w:rPr>
    </w:lvl>
    <w:lvl w:ilvl="5">
      <w:start w:val="1"/>
      <w:numFmt w:val="lowerRoman"/>
      <w:lvlText w:val="(%6)"/>
      <w:lvlJc w:val="left"/>
      <w:pPr>
        <w:tabs>
          <w:tab w:val="num" w:pos="2376"/>
        </w:tabs>
        <w:ind w:left="2376" w:hanging="432"/>
      </w:pPr>
      <w:rPr>
        <w:sz w:val="22"/>
        <w:i w:val="false"/>
        <w:b w:val="false"/>
        <w:vanish w:val="false"/>
        <w:color w:val="auto"/>
      </w:rPr>
    </w:lvl>
    <w:lvl w:ilvl="6">
      <w:start w:val="1"/>
      <w:numFmt w:val="decimal"/>
      <w:lvlText w:val="%7."/>
      <w:lvlJc w:val="left"/>
      <w:pPr>
        <w:tabs>
          <w:tab w:val="num" w:pos="792"/>
        </w:tabs>
        <w:ind w:left="794" w:hanging="794"/>
      </w:pPr>
      <w:rPr>
        <w:sz w:val="22"/>
        <w:i w:val="false"/>
        <w:b/>
        <w:vanish w:val="false"/>
        <w:color w:val="auto"/>
      </w:rPr>
    </w:lvl>
    <w:lvl w:ilvl="7">
      <w:start w:val="1"/>
      <w:numFmt w:val="decimal"/>
      <w:suff w:val="nothing"/>
      <w:lvlText w:val=""/>
      <w:lvlJc w:val="left"/>
      <w:pPr>
        <w:tabs>
          <w:tab w:val="num" w:pos="0"/>
        </w:tabs>
        <w:ind w:left="794" w:hanging="0"/>
      </w:pPr>
      <w:rPr>
        <w:sz w:val="22"/>
        <w:i w:val="false"/>
        <w:b/>
        <w:vanish w:val="false"/>
        <w:color w:val="404040"/>
      </w:rPr>
    </w:lvl>
    <w:lvl w:ilvl="8">
      <w:start w:val="1"/>
      <w:numFmt w:val="decimal"/>
      <w:suff w:val="nothing"/>
      <w:lvlText w:val=""/>
      <w:lvlJc w:val="left"/>
      <w:pPr>
        <w:tabs>
          <w:tab w:val="num" w:pos="0"/>
        </w:tabs>
        <w:ind w:left="794" w:hanging="0"/>
      </w:pPr>
      <w:rPr>
        <w:sz w:val="22"/>
        <w:i w:val="false"/>
        <w:b/>
        <w:vanish w:val="false"/>
        <w:color w:val="404040"/>
      </w:rPr>
    </w:lvl>
  </w:abstractNum>
  <w:abstractNum w:abstractNumId="4">
    <w:lvl w:ilvl="0">
      <w:start w:val="1"/>
      <w:numFmt w:val="decimal"/>
      <w:lvlText w:val="%1."/>
      <w:lvlJc w:val="left"/>
      <w:pPr>
        <w:tabs>
          <w:tab w:val="num" w:pos="432"/>
        </w:tabs>
        <w:ind w:left="432" w:hanging="432"/>
      </w:pPr>
      <w:rPr>
        <w:sz w:val="22"/>
        <w:i w:val="false"/>
        <w:b/>
        <w:szCs w:val="22"/>
        <w:vanish w:val="false"/>
        <w:rFonts w:cs="Arial"/>
        <w:color w:val="auto"/>
      </w:rPr>
    </w:lvl>
    <w:lvl w:ilvl="1">
      <w:start w:val="1"/>
      <w:numFmt w:val="decimal"/>
      <w:lvlText w:val="%1.%2"/>
      <w:lvlJc w:val="left"/>
      <w:pPr>
        <w:tabs>
          <w:tab w:val="num" w:pos="432"/>
        </w:tabs>
        <w:ind w:left="432" w:hanging="432"/>
      </w:pPr>
      <w:rPr>
        <w:sz w:val="20"/>
        <w:i w:val="false"/>
        <w:b/>
        <w:szCs w:val="28"/>
        <w:vanish w:val="false"/>
        <w:rFonts w:cs="Arial"/>
        <w:color w:val="auto"/>
      </w:rPr>
    </w:lvl>
    <w:lvl w:ilvl="2">
      <w:start w:val="1"/>
      <w:numFmt w:val="lowerLetter"/>
      <w:lvlText w:val="(%3)"/>
      <w:lvlJc w:val="left"/>
      <w:pPr>
        <w:tabs>
          <w:tab w:val="num" w:pos="936"/>
        </w:tabs>
        <w:ind w:left="936" w:hanging="504"/>
      </w:pPr>
      <w:rPr>
        <w:sz w:val="19"/>
        <w:i w:val="false"/>
        <w:b w:val="false"/>
        <w:szCs w:val="22"/>
        <w:vanish w:val="false"/>
        <w:rFonts w:cs="Arial"/>
        <w:color w:val="auto"/>
      </w:rPr>
    </w:lvl>
    <w:lvl w:ilvl="3">
      <w:start w:val="1"/>
      <w:numFmt w:val="lowerRoman"/>
      <w:lvlText w:val="(%4)"/>
      <w:lvlJc w:val="left"/>
      <w:pPr>
        <w:tabs>
          <w:tab w:val="num" w:pos="1440"/>
        </w:tabs>
        <w:ind w:left="1440" w:hanging="504"/>
      </w:pPr>
      <w:rPr>
        <w:sz w:val="19"/>
        <w:i w:val="false"/>
        <w:b w:val="false"/>
        <w:vanish w:val="false"/>
        <w:rFonts w:cs="Arial"/>
        <w:color w:val="auto"/>
      </w:rPr>
    </w:lvl>
    <w:lvl w:ilvl="4">
      <w:start w:val="1"/>
      <w:numFmt w:val="upperLetter"/>
      <w:lvlText w:val="%5."/>
      <w:lvlJc w:val="left"/>
      <w:pPr>
        <w:tabs>
          <w:tab w:val="num" w:pos="1814"/>
        </w:tabs>
        <w:ind w:left="2325" w:hanging="511"/>
      </w:pPr>
      <w:rPr>
        <w:sz w:val="22"/>
        <w:i w:val="false"/>
        <w:b w:val="false"/>
        <w:vanish w:val="false"/>
        <w:rFonts w:cs="Arial"/>
        <w:color w:val="auto"/>
      </w:rPr>
    </w:lvl>
    <w:lvl w:ilvl="5">
      <w:start w:val="1"/>
      <w:numFmt w:val="lowerRoman"/>
      <w:lvlText w:val="(%6)"/>
      <w:lvlJc w:val="left"/>
      <w:pPr>
        <w:tabs>
          <w:tab w:val="num" w:pos="2376"/>
        </w:tabs>
        <w:ind w:left="2376" w:hanging="432"/>
      </w:pPr>
      <w:rPr>
        <w:sz w:val="22"/>
        <w:i w:val="false"/>
        <w:b w:val="false"/>
        <w:vanish w:val="false"/>
        <w:color w:val="auto"/>
      </w:rPr>
    </w:lvl>
    <w:lvl w:ilvl="6">
      <w:start w:val="1"/>
      <w:numFmt w:val="decimal"/>
      <w:lvlText w:val="%7."/>
      <w:lvlJc w:val="left"/>
      <w:pPr>
        <w:tabs>
          <w:tab w:val="num" w:pos="792"/>
        </w:tabs>
        <w:ind w:left="794" w:hanging="794"/>
      </w:pPr>
      <w:rPr>
        <w:sz w:val="22"/>
        <w:i w:val="false"/>
        <w:b/>
        <w:vanish w:val="false"/>
        <w:color w:val="auto"/>
      </w:rPr>
    </w:lvl>
    <w:lvl w:ilvl="7">
      <w:start w:val="1"/>
      <w:numFmt w:val="decimal"/>
      <w:suff w:val="nothing"/>
      <w:lvlText w:val=""/>
      <w:lvlJc w:val="left"/>
      <w:pPr>
        <w:tabs>
          <w:tab w:val="num" w:pos="0"/>
        </w:tabs>
        <w:ind w:left="794" w:hanging="0"/>
      </w:pPr>
      <w:rPr>
        <w:sz w:val="22"/>
        <w:i w:val="false"/>
        <w:b/>
        <w:vanish w:val="false"/>
        <w:color w:val="404040"/>
      </w:rPr>
    </w:lvl>
    <w:lvl w:ilvl="8">
      <w:start w:val="1"/>
      <w:numFmt w:val="decimal"/>
      <w:suff w:val="nothing"/>
      <w:lvlText w:val=""/>
      <w:lvlJc w:val="left"/>
      <w:pPr>
        <w:tabs>
          <w:tab w:val="num" w:pos="0"/>
        </w:tabs>
        <w:ind w:left="794" w:hanging="0"/>
      </w:pPr>
      <w:rPr>
        <w:sz w:val="22"/>
        <w:i w:val="false"/>
        <w:b/>
        <w:vanish w:val="false"/>
        <w:color w:val="404040"/>
      </w:rPr>
    </w:lvl>
  </w:abstractNum>
  <w:abstractNum w:abstractNumId="5">
    <w:lvl w:ilvl="0">
      <w:start w:val="1"/>
      <w:numFmt w:val="decimal"/>
      <w:lvlText w:val="%1."/>
      <w:lvlJc w:val="left"/>
      <w:pPr>
        <w:tabs>
          <w:tab w:val="num" w:pos="432"/>
        </w:tabs>
        <w:ind w:left="432" w:hanging="432"/>
      </w:pPr>
      <w:rPr>
        <w:sz w:val="22"/>
        <w:i w:val="false"/>
        <w:b/>
        <w:szCs w:val="22"/>
        <w:vanish w:val="false"/>
        <w:rFonts w:cs="Arial"/>
        <w:color w:val="auto"/>
      </w:rPr>
    </w:lvl>
    <w:lvl w:ilvl="1">
      <w:start w:val="1"/>
      <w:numFmt w:val="decimal"/>
      <w:lvlText w:val="%1.%2"/>
      <w:lvlJc w:val="left"/>
      <w:pPr>
        <w:tabs>
          <w:tab w:val="num" w:pos="432"/>
        </w:tabs>
        <w:ind w:left="432" w:hanging="432"/>
      </w:pPr>
      <w:rPr>
        <w:sz w:val="20"/>
        <w:i w:val="false"/>
        <w:b/>
        <w:szCs w:val="28"/>
        <w:vanish w:val="false"/>
        <w:rFonts w:cs="Arial"/>
        <w:color w:val="auto"/>
      </w:rPr>
    </w:lvl>
    <w:lvl w:ilvl="2">
      <w:start w:val="1"/>
      <w:numFmt w:val="lowerLetter"/>
      <w:lvlText w:val="(%3)"/>
      <w:lvlJc w:val="left"/>
      <w:pPr>
        <w:tabs>
          <w:tab w:val="num" w:pos="936"/>
        </w:tabs>
        <w:ind w:left="936" w:hanging="504"/>
      </w:pPr>
      <w:rPr>
        <w:sz w:val="19"/>
        <w:i w:val="false"/>
        <w:b w:val="false"/>
        <w:szCs w:val="22"/>
        <w:vanish w:val="false"/>
        <w:rFonts w:cs="Arial"/>
        <w:color w:val="auto"/>
      </w:rPr>
    </w:lvl>
    <w:lvl w:ilvl="3">
      <w:start w:val="1"/>
      <w:numFmt w:val="lowerRoman"/>
      <w:lvlText w:val="(%4)"/>
      <w:lvlJc w:val="left"/>
      <w:pPr>
        <w:tabs>
          <w:tab w:val="num" w:pos="1440"/>
        </w:tabs>
        <w:ind w:left="1440" w:hanging="504"/>
      </w:pPr>
      <w:rPr>
        <w:sz w:val="19"/>
        <w:i w:val="false"/>
        <w:b w:val="false"/>
        <w:vanish w:val="false"/>
        <w:rFonts w:cs="Arial"/>
        <w:color w:val="auto"/>
      </w:rPr>
    </w:lvl>
    <w:lvl w:ilvl="4">
      <w:start w:val="1"/>
      <w:numFmt w:val="upperLetter"/>
      <w:lvlText w:val="%5."/>
      <w:lvlJc w:val="left"/>
      <w:pPr>
        <w:tabs>
          <w:tab w:val="num" w:pos="1814"/>
        </w:tabs>
        <w:ind w:left="2325" w:hanging="511"/>
      </w:pPr>
      <w:rPr>
        <w:sz w:val="22"/>
        <w:i w:val="false"/>
        <w:b w:val="false"/>
        <w:vanish w:val="false"/>
        <w:rFonts w:cs="Arial"/>
        <w:color w:val="auto"/>
      </w:rPr>
    </w:lvl>
    <w:lvl w:ilvl="5">
      <w:start w:val="1"/>
      <w:numFmt w:val="lowerRoman"/>
      <w:lvlText w:val="(%6)"/>
      <w:lvlJc w:val="left"/>
      <w:pPr>
        <w:tabs>
          <w:tab w:val="num" w:pos="2376"/>
        </w:tabs>
        <w:ind w:left="2376" w:hanging="432"/>
      </w:pPr>
      <w:rPr>
        <w:sz w:val="22"/>
        <w:i w:val="false"/>
        <w:b w:val="false"/>
        <w:vanish w:val="false"/>
        <w:color w:val="auto"/>
      </w:rPr>
    </w:lvl>
    <w:lvl w:ilvl="6">
      <w:start w:val="1"/>
      <w:numFmt w:val="decimal"/>
      <w:lvlText w:val="%7."/>
      <w:lvlJc w:val="left"/>
      <w:pPr>
        <w:tabs>
          <w:tab w:val="num" w:pos="792"/>
        </w:tabs>
        <w:ind w:left="794" w:hanging="794"/>
      </w:pPr>
      <w:rPr>
        <w:sz w:val="22"/>
        <w:i w:val="false"/>
        <w:b/>
        <w:vanish w:val="false"/>
        <w:color w:val="auto"/>
      </w:rPr>
    </w:lvl>
    <w:lvl w:ilvl="7">
      <w:start w:val="1"/>
      <w:numFmt w:val="decimal"/>
      <w:suff w:val="nothing"/>
      <w:lvlText w:val=""/>
      <w:lvlJc w:val="left"/>
      <w:pPr>
        <w:tabs>
          <w:tab w:val="num" w:pos="0"/>
        </w:tabs>
        <w:ind w:left="794" w:hanging="0"/>
      </w:pPr>
      <w:rPr>
        <w:sz w:val="22"/>
        <w:i w:val="false"/>
        <w:b/>
        <w:vanish w:val="false"/>
        <w:color w:val="404040"/>
      </w:rPr>
    </w:lvl>
    <w:lvl w:ilvl="8">
      <w:start w:val="1"/>
      <w:numFmt w:val="decimal"/>
      <w:suff w:val="nothing"/>
      <w:lvlText w:val=""/>
      <w:lvlJc w:val="left"/>
      <w:pPr>
        <w:tabs>
          <w:tab w:val="num" w:pos="0"/>
        </w:tabs>
        <w:ind w:left="794" w:hanging="0"/>
      </w:pPr>
      <w:rPr>
        <w:sz w:val="22"/>
        <w:i w:val="false"/>
        <w:b/>
        <w:vanish w:val="false"/>
        <w:color w:val="404040"/>
      </w:rPr>
    </w:lvl>
  </w:abstractNum>
  <w:abstractNum w:abstractNumId="6">
    <w:lvl w:ilvl="0">
      <w:start w:val="1"/>
      <w:numFmt w:val="decimal"/>
      <w:lvlText w:val="%1."/>
      <w:lvlJc w:val="left"/>
      <w:pPr>
        <w:tabs>
          <w:tab w:val="num" w:pos="432"/>
        </w:tabs>
        <w:ind w:left="432" w:hanging="432"/>
      </w:pPr>
      <w:rPr>
        <w:sz w:val="22"/>
        <w:i w:val="false"/>
        <w:b/>
        <w:szCs w:val="22"/>
        <w:vanish w:val="false"/>
        <w:rFonts w:cs="Arial"/>
        <w:color w:val="auto"/>
      </w:rPr>
    </w:lvl>
    <w:lvl w:ilvl="1">
      <w:start w:val="1"/>
      <w:numFmt w:val="decimal"/>
      <w:lvlText w:val="%1.%2"/>
      <w:lvlJc w:val="left"/>
      <w:pPr>
        <w:tabs>
          <w:tab w:val="num" w:pos="432"/>
        </w:tabs>
        <w:ind w:left="432" w:hanging="432"/>
      </w:pPr>
      <w:rPr>
        <w:sz w:val="20"/>
        <w:i w:val="false"/>
        <w:b/>
        <w:szCs w:val="28"/>
        <w:vanish w:val="false"/>
        <w:rFonts w:cs="Arial"/>
        <w:color w:val="auto"/>
      </w:rPr>
    </w:lvl>
    <w:lvl w:ilvl="2">
      <w:start w:val="1"/>
      <w:numFmt w:val="lowerLetter"/>
      <w:lvlText w:val="(%3)"/>
      <w:lvlJc w:val="left"/>
      <w:pPr>
        <w:tabs>
          <w:tab w:val="num" w:pos="936"/>
        </w:tabs>
        <w:ind w:left="936" w:hanging="504"/>
      </w:pPr>
      <w:rPr>
        <w:sz w:val="19"/>
        <w:i w:val="false"/>
        <w:b w:val="false"/>
        <w:szCs w:val="22"/>
        <w:vanish w:val="false"/>
        <w:rFonts w:cs="Arial"/>
        <w:color w:val="auto"/>
      </w:rPr>
    </w:lvl>
    <w:lvl w:ilvl="3">
      <w:start w:val="1"/>
      <w:numFmt w:val="lowerRoman"/>
      <w:lvlText w:val="(%4)"/>
      <w:lvlJc w:val="left"/>
      <w:pPr>
        <w:tabs>
          <w:tab w:val="num" w:pos="1440"/>
        </w:tabs>
        <w:ind w:left="1440" w:hanging="504"/>
      </w:pPr>
      <w:rPr>
        <w:sz w:val="19"/>
        <w:i w:val="false"/>
        <w:b w:val="false"/>
        <w:vanish w:val="false"/>
        <w:rFonts w:cs="Arial"/>
        <w:color w:val="auto"/>
      </w:rPr>
    </w:lvl>
    <w:lvl w:ilvl="4">
      <w:start w:val="1"/>
      <w:numFmt w:val="upperLetter"/>
      <w:lvlText w:val="%5."/>
      <w:lvlJc w:val="left"/>
      <w:pPr>
        <w:tabs>
          <w:tab w:val="num" w:pos="1814"/>
        </w:tabs>
        <w:ind w:left="2325" w:hanging="511"/>
      </w:pPr>
      <w:rPr>
        <w:sz w:val="22"/>
        <w:i w:val="false"/>
        <w:b w:val="false"/>
        <w:vanish w:val="false"/>
        <w:rFonts w:cs="Arial"/>
        <w:color w:val="auto"/>
      </w:rPr>
    </w:lvl>
    <w:lvl w:ilvl="5">
      <w:start w:val="1"/>
      <w:numFmt w:val="lowerRoman"/>
      <w:lvlText w:val="(%6)"/>
      <w:lvlJc w:val="left"/>
      <w:pPr>
        <w:tabs>
          <w:tab w:val="num" w:pos="2376"/>
        </w:tabs>
        <w:ind w:left="2376" w:hanging="432"/>
      </w:pPr>
      <w:rPr>
        <w:sz w:val="22"/>
        <w:i w:val="false"/>
        <w:b w:val="false"/>
        <w:vanish w:val="false"/>
        <w:color w:val="auto"/>
      </w:rPr>
    </w:lvl>
    <w:lvl w:ilvl="6">
      <w:start w:val="1"/>
      <w:numFmt w:val="decimal"/>
      <w:lvlText w:val="%7."/>
      <w:lvlJc w:val="left"/>
      <w:pPr>
        <w:tabs>
          <w:tab w:val="num" w:pos="792"/>
        </w:tabs>
        <w:ind w:left="794" w:hanging="794"/>
      </w:pPr>
      <w:rPr>
        <w:sz w:val="22"/>
        <w:i w:val="false"/>
        <w:b/>
        <w:vanish w:val="false"/>
        <w:color w:val="auto"/>
      </w:rPr>
    </w:lvl>
    <w:lvl w:ilvl="7">
      <w:start w:val="1"/>
      <w:numFmt w:val="decimal"/>
      <w:suff w:val="nothing"/>
      <w:lvlText w:val=""/>
      <w:lvlJc w:val="left"/>
      <w:pPr>
        <w:tabs>
          <w:tab w:val="num" w:pos="0"/>
        </w:tabs>
        <w:ind w:left="794" w:hanging="0"/>
      </w:pPr>
      <w:rPr>
        <w:sz w:val="22"/>
        <w:i w:val="false"/>
        <w:b/>
        <w:vanish w:val="false"/>
        <w:color w:val="404040"/>
      </w:rPr>
    </w:lvl>
    <w:lvl w:ilvl="8">
      <w:start w:val="1"/>
      <w:numFmt w:val="decimal"/>
      <w:suff w:val="nothing"/>
      <w:lvlText w:val=""/>
      <w:lvlJc w:val="left"/>
      <w:pPr>
        <w:tabs>
          <w:tab w:val="num" w:pos="0"/>
        </w:tabs>
        <w:ind w:left="794" w:hanging="0"/>
      </w:pPr>
      <w:rPr>
        <w:sz w:val="22"/>
        <w:i w:val="false"/>
        <w:b/>
        <w:vanish w:val="false"/>
        <w:color w:val="40404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2">
      <w:startOverride w:val="1"/>
    </w:lvlOverride>
  </w:num>
  <w:num w:numId="9">
    <w:abstractNumId w:val="1"/>
    <w:lvlOverride w:ilvl="2">
      <w:startOverride w:val="1"/>
    </w:lvlOverride>
  </w:num>
  <w:num w:numId="10">
    <w:abstractNumId w:val="1"/>
    <w:lvlOverride w:ilvl="2">
      <w:startOverride w:val="1"/>
    </w:lvlOverride>
  </w:num>
  <w:num w:numId="11">
    <w:abstractNumId w:val="1"/>
    <w:lvlOverride w:ilvl="2">
      <w:startOverride w:val="1"/>
    </w:lvlOverride>
  </w:num>
  <w:num w:numId="12">
    <w:abstractNumId w:val="1"/>
    <w:lvlOverride w:ilvl="2">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39" w:qFormat="1"/>
    <w:lsdException w:name="heading 1" w:uiPriority="29" w:qFormat="1"/>
    <w:lsdException w:name="heading 2" w:uiPriority="29" w:qFormat="1"/>
    <w:lsdException w:name="heading 3" w:uiPriority="2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49" w:semiHidden="1" w:unhideWhenUsed="1"/>
    <w:lsdException w:name="index 2" w:uiPriority="49" w:semiHidden="1" w:unhideWhenUsed="1"/>
    <w:lsdException w:name="index 3" w:uiPriority="49" w:semiHidden="1" w:unhideWhenUsed="1"/>
    <w:lsdException w:name="index 4" w:uiPriority="49" w:semiHidden="1" w:unhideWhenUsed="1"/>
    <w:lsdException w:name="index 5" w:uiPriority="49" w:semiHidden="1" w:unhideWhenUsed="1"/>
    <w:lsdException w:name="index 6" w:uiPriority="49" w:semiHidden="1" w:unhideWhenUsed="1"/>
    <w:lsdException w:name="index 7" w:uiPriority="49" w:semiHidden="1" w:unhideWhenUsed="1"/>
    <w:lsdException w:name="index 8" w:uiPriority="49" w:semiHidden="1" w:unhideWhenUsed="1"/>
    <w:lsdException w:name="index 9" w:uiPriority="4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49" w:semiHidden="1" w:unhideWhenUsed="1"/>
    <w:lsdException w:name="annotation text" w:uiPriority="0" w:semiHidden="1" w:unhideWhenUsed="1"/>
    <w:lsdException w:name="header" w:uiPriority="24" w:semiHidden="1" w:unhideWhenUsed="1"/>
    <w:lsdException w:name="footer" w:uiPriority="89" w:semiHidden="1" w:unhideWhenUsed="1"/>
    <w:lsdException w:name="index heading" w:uiPriority="49" w:semiHidden="1" w:unhideWhenUsed="1"/>
    <w:lsdException w:name="caption" w:uiPriority="35" w:qFormat="1"/>
    <w:lsdException w:name="table of figures" w:semiHidden="1" w:unhideWhenUsed="1"/>
    <w:lsdException w:name="envelope address" w:uiPriority="49" w:semiHidden="1" w:unhideWhenUsed="1"/>
    <w:lsdException w:name="envelope return" w:uiPriority="49" w:semiHidden="1" w:unhideWhenUsed="1"/>
    <w:lsdException w:name="footnote reference" w:uiPriority="49" w:semiHidden="1" w:unhideWhenUsed="1"/>
    <w:lsdException w:name="annotation reference" w:uiPriority="0" w:semiHidden="1" w:unhideWhenUsed="1"/>
    <w:lsdException w:name="line number" w:uiPriority="49" w:semiHidden="1" w:unhideWhenUsed="1"/>
    <w:lsdException w:name="page number" w:uiPriority="49" w:semiHidden="1" w:unhideWhenUsed="1"/>
    <w:lsdException w:name="endnote reference" w:uiPriority="49" w:semiHidden="1" w:unhideWhenUsed="1"/>
    <w:lsdException w:name="endnote text" w:uiPriority="49" w:semiHidden="1" w:unhideWhenUsed="1"/>
    <w:lsdException w:name="table of authorities" w:uiPriority="39" w:semiHidden="1" w:unhideWhenUsed="1"/>
    <w:lsdException w:name="macro" w:uiPriority="49" w:semiHidden="1" w:unhideWhenUsed="1"/>
    <w:lsdException w:name="toa heading" w:uiPriority="39" w:semiHidden="1" w:unhideWhenUsed="1"/>
    <w:lsdException w:name="List" w:uiPriority="49" w:semiHidden="1" w:unhideWhenUsed="1"/>
    <w:lsdException w:name="List Bullet" w:semiHidden="1" w:unhideWhenUsed="1"/>
    <w:lsdException w:name="List Number" w:uiPriority="7" w:semiHidden="1" w:unhideWhenUsed="1" w:qFormat="1"/>
    <w:lsdException w:name="List 2" w:uiPriority="49" w:semiHidden="1" w:unhideWhenUsed="1"/>
    <w:lsdException w:name="List 3" w:uiPriority="49" w:semiHidden="1" w:unhideWhenUsed="1"/>
    <w:lsdException w:name="List 4" w:uiPriority="49" w:semiHidden="1" w:unhideWhenUsed="1"/>
    <w:lsdException w:name="List 5" w:uiPriority="49" w:semiHidden="1" w:unhideWhenUsed="1"/>
    <w:lsdException w:name="List Bullet 2" w:semiHidden="1" w:unhideWhenUsed="1"/>
    <w:lsdException w:name="List Bullet 3" w:semiHidden="1" w:unhideWhenUsed="1"/>
    <w:lsdException w:name="List Bullet 4" w:uiPriority="49" w:semiHidden="1" w:unhideWhenUsed="1"/>
    <w:lsdException w:name="List Bullet 5" w:uiPriority="49" w:semiHidden="1" w:unhideWhenUsed="1"/>
    <w:lsdException w:name="List Number 2" w:uiPriority="7" w:semiHidden="1" w:unhideWhenUsed="1"/>
    <w:lsdException w:name="List Number 3" w:uiPriority="7" w:semiHidden="1" w:unhideWhenUsed="1"/>
    <w:lsdException w:name="List Number 4" w:uiPriority="49" w:semiHidden="1" w:unhideWhenUsed="1"/>
    <w:lsdException w:name="List Number 5" w:uiPriority="49" w:semiHidden="1" w:unhideWhenUsed="1"/>
    <w:lsdException w:name="Title" w:uiPriority="89" w:qFormat="1"/>
    <w:lsdException w:name="Closing" w:uiPriority="49" w:semiHidden="1" w:unhideWhenUsed="1"/>
    <w:lsdException w:name="Signature" w:uiPriority="49" w:semiHidden="1" w:unhideWhenUsed="1"/>
    <w:lsdException w:name="Default Paragraph Font" w:uiPriority="1" w:semiHidden="1" w:unhideWhenUsed="1"/>
    <w:lsdException w:name="Body Text" w:uiPriority="49" w:semiHidden="1" w:unhideWhenUsed="1"/>
    <w:lsdException w:name="Body Text Indent" w:uiPriority="49" w:semiHidden="1" w:unhideWhenUsed="1"/>
    <w:lsdException w:name="List Continue" w:uiPriority="8" w:semiHidden="1" w:unhideWhenUsed="1" w:qFormat="1"/>
    <w:lsdException w:name="List Continue 2" w:uiPriority="8" w:semiHidden="1" w:unhideWhenUsed="1"/>
    <w:lsdException w:name="List Continue 3" w:uiPriority="8" w:semiHidden="1" w:unhideWhenUsed="1"/>
    <w:lsdException w:name="List Continue 4" w:uiPriority="49" w:semiHidden="1" w:unhideWhenUsed="1"/>
    <w:lsdException w:name="List Continue 5" w:uiPriority="49" w:semiHidden="1" w:unhideWhenUsed="1"/>
    <w:lsdException w:name="Message Header" w:uiPriority="49" w:semiHidden="1" w:unhideWhenUsed="1"/>
    <w:lsdException w:name="Subtitle" w:uiPriority="11" w:qFormat="1"/>
    <w:lsdException w:name="Salutation" w:uiPriority="49" w:semiHidden="1" w:unhideWhenUsed="1"/>
    <w:lsdException w:name="Date" w:uiPriority="49" w:semiHidden="1" w:unhideWhenUsed="1"/>
    <w:lsdException w:name="Body Text First Indent" w:uiPriority="49" w:semiHidden="1" w:unhideWhenUsed="1"/>
    <w:lsdException w:name="Body Text First Indent 2" w:uiPriority="49" w:semiHidden="1" w:unhideWhenUsed="1"/>
    <w:lsdException w:name="Note Heading" w:uiPriority="49" w:semiHidden="1" w:unhideWhenUsed="1"/>
    <w:lsdException w:name="Body Text 2" w:uiPriority="49" w:semiHidden="1" w:unhideWhenUsed="1"/>
    <w:lsdException w:name="Body Text 3" w:uiPriority="49" w:semiHidden="1" w:unhideWhenUsed="1"/>
    <w:lsdException w:name="Body Text Indent 2" w:uiPriority="49" w:semiHidden="1" w:unhideWhenUsed="1"/>
    <w:lsdException w:name="Body Text Indent 3" w:uiPriority="49" w:semiHidden="1" w:unhideWhenUsed="1"/>
    <w:lsdException w:name="Block Text" w:uiPriority="49"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49" w:semiHidden="1" w:unhideWhenUsed="1"/>
    <w:lsdException w:name="Plain Text" w:uiPriority="49" w:semiHidden="1" w:unhideWhenUsed="1"/>
    <w:lsdException w:name="E-mail Signature" w:uiPriority="49" w:semiHidden="1" w:unhideWhenUsed="1"/>
    <w:lsdException w:name="HTML Top of Form" w:semiHidden="1" w:unhideWhenUsed="1"/>
    <w:lsdException w:name="HTML Bottom of Form" w:semiHidden="1" w:unhideWhenUsed="1"/>
    <w:lsdException w:name="Normal (Web)" w:uiPriority="49" w:semiHidden="1" w:unhideWhenUsed="1"/>
    <w:lsdException w:name="HTML Acronym" w:semiHidden="1" w:unhideWhenUsed="1"/>
    <w:lsdException w:name="HTML Address" w:uiPriority="49"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4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49"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49"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semiHidden="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9"/>
    <w:qFormat/>
    <w:rsid w:val="009c29bd"/>
    <w:pPr>
      <w:widowControl/>
      <w:bidi w:val="0"/>
      <w:spacing w:lineRule="auto" w:line="264" w:before="100" w:after="100"/>
      <w:jc w:val="left"/>
    </w:pPr>
    <w:rPr>
      <w:rFonts w:ascii="Arial" w:hAnsi="Arial" w:asciiTheme="minorHAnsi" w:hAnsiTheme="minorHAnsi" w:eastAsia="Times New Roman" w:cs="Times New Roman"/>
      <w:color w:val="auto"/>
      <w:kern w:val="0"/>
      <w:sz w:val="22"/>
      <w:szCs w:val="22"/>
      <w:lang w:val="en-AU" w:eastAsia="en-AU" w:bidi="ar-SA"/>
    </w:rPr>
  </w:style>
  <w:style w:type="paragraph" w:styleId="Heading1">
    <w:name w:val="Heading 1"/>
    <w:basedOn w:val="Normal"/>
    <w:next w:val="Heading2"/>
    <w:link w:val="Heading1Char"/>
    <w:uiPriority w:val="29"/>
    <w:qFormat/>
    <w:rsid w:val="00d2437a"/>
    <w:pPr>
      <w:spacing w:before="240" w:after="240"/>
      <w:outlineLvl w:val="0"/>
    </w:pPr>
    <w:rPr>
      <w:rFonts w:ascii="Arial" w:hAnsi="Arial" w:cs="Calibri" w:asciiTheme="majorHAnsi" w:hAnsiTheme="majorHAnsi"/>
      <w:b/>
      <w:sz w:val="40"/>
      <w:lang w:eastAsia="en-US"/>
    </w:rPr>
  </w:style>
  <w:style w:type="paragraph" w:styleId="Heading2">
    <w:name w:val="Heading 2"/>
    <w:next w:val="Normal"/>
    <w:link w:val="Heading2Char"/>
    <w:uiPriority w:val="29"/>
    <w:qFormat/>
    <w:rsid w:val="00d2437a"/>
    <w:pPr>
      <w:keepNext w:val="true"/>
      <w:widowControl/>
      <w:bidi w:val="0"/>
      <w:spacing w:lineRule="auto" w:line="264" w:before="240" w:after="100"/>
      <w:jc w:val="left"/>
      <w:outlineLvl w:val="1"/>
    </w:pPr>
    <w:rPr>
      <w:rFonts w:ascii="Arial" w:hAnsi="Arial" w:asciiTheme="minorHAnsi" w:hAnsiTheme="minorHAnsi" w:eastAsia="Times New Roman" w:cs="Times New Roman"/>
      <w:b/>
      <w:color w:val="auto"/>
      <w:kern w:val="0"/>
      <w:sz w:val="32"/>
      <w:szCs w:val="28"/>
      <w:lang w:eastAsia="en-US" w:val="en-AU" w:bidi="ar-SA"/>
    </w:rPr>
  </w:style>
  <w:style w:type="paragraph" w:styleId="Heading3">
    <w:name w:val="Heading 3"/>
    <w:basedOn w:val="Normal"/>
    <w:next w:val="Normal"/>
    <w:link w:val="Heading3Char"/>
    <w:uiPriority w:val="29"/>
    <w:qFormat/>
    <w:rsid w:val="00d2437a"/>
    <w:pPr>
      <w:tabs>
        <w:tab w:val="clear" w:pos="720"/>
        <w:tab w:val="left" w:pos="1247" w:leader="none"/>
      </w:tabs>
      <w:spacing w:before="100" w:after="120"/>
      <w:outlineLvl w:val="2"/>
    </w:pPr>
    <w:rPr>
      <w:rFonts w:cs="Calibri"/>
      <w:b/>
      <w:sz w:val="24"/>
      <w:lang w:eastAsia="en-US"/>
    </w:rPr>
  </w:style>
  <w:style w:type="paragraph" w:styleId="Heading4">
    <w:name w:val="Heading 4"/>
    <w:basedOn w:val="Normal"/>
    <w:next w:val="Normal"/>
    <w:link w:val="Heading4Char"/>
    <w:uiPriority w:val="9"/>
    <w:semiHidden/>
    <w:qFormat/>
    <w:rsid w:val="00d2437a"/>
    <w:pPr>
      <w:spacing w:before="0" w:after="120"/>
      <w:outlineLvl w:val="3"/>
    </w:pPr>
    <w:rPr>
      <w:b/>
      <w:color w:val="4D4D4D"/>
      <w:lang w:eastAsia="en-US"/>
    </w:rPr>
  </w:style>
  <w:style w:type="paragraph" w:styleId="Heading5">
    <w:name w:val="Heading 5"/>
    <w:basedOn w:val="Heading4"/>
    <w:next w:val="Normal"/>
    <w:link w:val="Heading5Char"/>
    <w:uiPriority w:val="9"/>
    <w:semiHidden/>
    <w:qFormat/>
    <w:rsid w:val="00d2437a"/>
    <w:pPr>
      <w:ind w:left="792" w:hanging="0"/>
      <w:outlineLvl w:val="4"/>
    </w:pPr>
    <w:rPr>
      <w:bCs/>
      <w:i/>
      <w:color w:val="404040"/>
      <w:sz w:val="20"/>
    </w:rPr>
  </w:style>
  <w:style w:type="paragraph" w:styleId="Heading6">
    <w:name w:val="Heading 6"/>
    <w:basedOn w:val="Heading5"/>
    <w:next w:val="Normal"/>
    <w:link w:val="Heading6Char"/>
    <w:uiPriority w:val="9"/>
    <w:semiHidden/>
    <w:qFormat/>
    <w:rsid w:val="00d2437a"/>
    <w:pPr>
      <w:ind w:left="792" w:hanging="0"/>
      <w:outlineLvl w:val="5"/>
    </w:pPr>
    <w:rPr>
      <w:iCs/>
    </w:rPr>
  </w:style>
  <w:style w:type="paragraph" w:styleId="Heading7">
    <w:name w:val="Heading 7"/>
    <w:basedOn w:val="Heading6"/>
    <w:next w:val="Normal"/>
    <w:link w:val="Heading7Char"/>
    <w:semiHidden/>
    <w:qFormat/>
    <w:rsid w:val="00d2437a"/>
    <w:pPr>
      <w:ind w:left="792" w:hanging="0"/>
      <w:outlineLvl w:val="6"/>
    </w:pPr>
    <w:rPr>
      <w:i w:val="false"/>
    </w:rPr>
  </w:style>
  <w:style w:type="paragraph" w:styleId="Heading8">
    <w:name w:val="Heading 8"/>
    <w:basedOn w:val="Heading7"/>
    <w:next w:val="Normal"/>
    <w:link w:val="Heading8Char"/>
    <w:semiHidden/>
    <w:qFormat/>
    <w:rsid w:val="00d2437a"/>
    <w:pPr>
      <w:ind w:left="792" w:hanging="0"/>
      <w:outlineLvl w:val="7"/>
    </w:pPr>
    <w:rPr>
      <w:b w:val="false"/>
    </w:rPr>
  </w:style>
  <w:style w:type="paragraph" w:styleId="Heading9">
    <w:name w:val="Heading 9"/>
    <w:basedOn w:val="Heading8"/>
    <w:next w:val="Normal"/>
    <w:link w:val="Heading9Char"/>
    <w:semiHidden/>
    <w:qFormat/>
    <w:rsid w:val="00d2437a"/>
    <w:pPr>
      <w:ind w:left="792" w:hanging="0"/>
      <w:outlineLvl w:val="8"/>
    </w:pPr>
    <w:rPr/>
  </w:style>
  <w:style w:type="character" w:styleId="DefaultParagraphFont" w:default="1">
    <w:name w:val="Default Paragraph Font"/>
    <w:uiPriority w:val="1"/>
    <w:semiHidden/>
    <w:unhideWhenUsed/>
    <w:qFormat/>
    <w:rPr/>
  </w:style>
  <w:style w:type="character" w:styleId="Annotationreference">
    <w:name w:val="annotation reference"/>
    <w:semiHidden/>
    <w:qFormat/>
    <w:rsid w:val="00d2437a"/>
    <w:rPr>
      <w:rFonts w:ascii="Calibri" w:hAnsi="Calibri"/>
      <w:sz w:val="16"/>
    </w:rPr>
  </w:style>
  <w:style w:type="character" w:styleId="EndnoteCharacters">
    <w:name w:val="Endnote Characters"/>
    <w:uiPriority w:val="49"/>
    <w:semiHidden/>
    <w:qFormat/>
    <w:rsid w:val="00d2437a"/>
    <w:rPr>
      <w:vertAlign w:val="superscript"/>
    </w:rPr>
  </w:style>
  <w:style w:type="character" w:styleId="EndnoteAnchor">
    <w:name w:val="Endnote Anchor"/>
    <w:rPr>
      <w:vertAlign w:val="superscript"/>
    </w:rPr>
  </w:style>
  <w:style w:type="character" w:styleId="FootnoteCharacters">
    <w:name w:val="Footnote Characters"/>
    <w:uiPriority w:val="49"/>
    <w:semiHidden/>
    <w:qFormat/>
    <w:rsid w:val="00d2437a"/>
    <w:rPr>
      <w:vertAlign w:val="superscript"/>
    </w:rPr>
  </w:style>
  <w:style w:type="character" w:styleId="FootnoteAnchor">
    <w:name w:val="Footnote Anchor"/>
    <w:rPr>
      <w:vertAlign w:val="superscript"/>
    </w:rPr>
  </w:style>
  <w:style w:type="character" w:styleId="InternetLink">
    <w:name w:val="Hyperlink"/>
    <w:basedOn w:val="DefaultParagraphFont"/>
    <w:uiPriority w:val="99"/>
    <w:rsid w:val="00d2437a"/>
    <w:rPr>
      <w:color w:val="0000FF" w:themeColor="hyperlink"/>
      <w:u w:val="single"/>
    </w:rPr>
  </w:style>
  <w:style w:type="character" w:styleId="Linenumber">
    <w:name w:val="line number"/>
    <w:basedOn w:val="DefaultParagraphFont"/>
    <w:uiPriority w:val="49"/>
    <w:semiHidden/>
    <w:qFormat/>
    <w:rsid w:val="00d2437a"/>
    <w:rPr/>
  </w:style>
  <w:style w:type="character" w:styleId="Pagenumber">
    <w:name w:val="page number"/>
    <w:uiPriority w:val="49"/>
    <w:semiHidden/>
    <w:qFormat/>
    <w:rsid w:val="00d2437a"/>
    <w:rPr>
      <w:b/>
      <w:color w:val="4C4C4C"/>
      <w:sz w:val="28"/>
    </w:rPr>
  </w:style>
  <w:style w:type="character" w:styleId="BookTitle">
    <w:name w:val="Book Title"/>
    <w:uiPriority w:val="33"/>
    <w:semiHidden/>
    <w:qFormat/>
    <w:rsid w:val="00d2437a"/>
    <w:rPr>
      <w:rFonts w:ascii="Calibri" w:hAnsi="Calibri"/>
      <w:b/>
      <w:bCs/>
      <w:smallCaps/>
      <w:spacing w:val="5"/>
    </w:rPr>
  </w:style>
  <w:style w:type="character" w:styleId="Emphasis">
    <w:name w:val="Emphasis"/>
    <w:uiPriority w:val="20"/>
    <w:semiHidden/>
    <w:qFormat/>
    <w:rsid w:val="00d2437a"/>
    <w:rPr>
      <w:i/>
      <w:iCs/>
    </w:rPr>
  </w:style>
  <w:style w:type="character" w:styleId="VisitedInternetLink">
    <w:name w:val="FollowedHyperlink"/>
    <w:uiPriority w:val="99"/>
    <w:semiHidden/>
    <w:rsid w:val="00d2437a"/>
    <w:rPr>
      <w:color w:val="800080"/>
      <w:u w:val="single"/>
    </w:rPr>
  </w:style>
  <w:style w:type="character" w:styleId="HTMLAcronym">
    <w:name w:val="HTML Acronym"/>
    <w:basedOn w:val="DefaultParagraphFont"/>
    <w:uiPriority w:val="99"/>
    <w:semiHidden/>
    <w:qFormat/>
    <w:rsid w:val="00d2437a"/>
    <w:rPr/>
  </w:style>
  <w:style w:type="character" w:styleId="HTMLCite">
    <w:name w:val="HTML Cite"/>
    <w:uiPriority w:val="99"/>
    <w:semiHidden/>
    <w:qFormat/>
    <w:rsid w:val="00d2437a"/>
    <w:rPr>
      <w:i/>
      <w:iCs/>
    </w:rPr>
  </w:style>
  <w:style w:type="character" w:styleId="HTMLCode">
    <w:name w:val="HTML Code"/>
    <w:uiPriority w:val="99"/>
    <w:semiHidden/>
    <w:qFormat/>
    <w:rsid w:val="00d2437a"/>
    <w:rPr>
      <w:sz w:val="20"/>
      <w:szCs w:val="20"/>
    </w:rPr>
  </w:style>
  <w:style w:type="character" w:styleId="HTMLDefinition">
    <w:name w:val="HTML Definition"/>
    <w:uiPriority w:val="99"/>
    <w:semiHidden/>
    <w:qFormat/>
    <w:rsid w:val="00d2437a"/>
    <w:rPr>
      <w:i/>
      <w:iCs/>
    </w:rPr>
  </w:style>
  <w:style w:type="character" w:styleId="HTMLKeyboard">
    <w:name w:val="HTML Keyboard"/>
    <w:uiPriority w:val="99"/>
    <w:semiHidden/>
    <w:qFormat/>
    <w:rsid w:val="00d2437a"/>
    <w:rPr>
      <w:sz w:val="20"/>
      <w:szCs w:val="20"/>
    </w:rPr>
  </w:style>
  <w:style w:type="character" w:styleId="HTMLSample">
    <w:name w:val="HTML Sample"/>
    <w:uiPriority w:val="99"/>
    <w:semiHidden/>
    <w:qFormat/>
    <w:rsid w:val="00d2437a"/>
    <w:rPr>
      <w:sz w:val="24"/>
      <w:szCs w:val="24"/>
    </w:rPr>
  </w:style>
  <w:style w:type="character" w:styleId="HTMLTypewriter">
    <w:name w:val="HTML Typewriter"/>
    <w:uiPriority w:val="99"/>
    <w:semiHidden/>
    <w:qFormat/>
    <w:rsid w:val="00d2437a"/>
    <w:rPr>
      <w:sz w:val="20"/>
      <w:szCs w:val="20"/>
    </w:rPr>
  </w:style>
  <w:style w:type="character" w:styleId="HTMLVariable">
    <w:name w:val="HTML Variable"/>
    <w:uiPriority w:val="99"/>
    <w:semiHidden/>
    <w:qFormat/>
    <w:rsid w:val="00d2437a"/>
    <w:rPr>
      <w:i/>
      <w:iCs/>
    </w:rPr>
  </w:style>
  <w:style w:type="character" w:styleId="PlaceholderText">
    <w:name w:val="Placeholder Text"/>
    <w:uiPriority w:val="99"/>
    <w:semiHidden/>
    <w:qFormat/>
    <w:rsid w:val="00d2437a"/>
    <w:rPr>
      <w:color w:val="808080"/>
    </w:rPr>
  </w:style>
  <w:style w:type="character" w:styleId="FooterChar" w:customStyle="1">
    <w:name w:val="Footer Char"/>
    <w:basedOn w:val="DefaultParagraphFont"/>
    <w:link w:val="Footer"/>
    <w:uiPriority w:val="89"/>
    <w:qFormat/>
    <w:rsid w:val="00b3098a"/>
    <w:rPr>
      <w:rFonts w:ascii="Arial" w:hAnsi="Arial" w:cs="Calibri" w:asciiTheme="minorHAnsi" w:hAnsiTheme="minorHAnsi"/>
      <w:color w:val="4C4C4C"/>
      <w:sz w:val="22"/>
    </w:rPr>
  </w:style>
  <w:style w:type="character" w:styleId="Heading2Char" w:customStyle="1">
    <w:name w:val="Heading 2 Char"/>
    <w:basedOn w:val="DefaultParagraphFont"/>
    <w:link w:val="Heading20"/>
    <w:uiPriority w:val="29"/>
    <w:qFormat/>
    <w:rsid w:val="00d2437a"/>
    <w:rPr>
      <w:rFonts w:ascii="Arial" w:hAnsi="Arial" w:asciiTheme="minorHAnsi" w:hAnsiTheme="minorHAnsi"/>
      <w:b/>
      <w:sz w:val="32"/>
      <w:szCs w:val="28"/>
      <w:lang w:eastAsia="en-US"/>
    </w:rPr>
  </w:style>
  <w:style w:type="character" w:styleId="Heading3Char" w:customStyle="1">
    <w:name w:val="Heading 3 Char"/>
    <w:basedOn w:val="DefaultParagraphFont"/>
    <w:link w:val="Heading30"/>
    <w:uiPriority w:val="29"/>
    <w:qFormat/>
    <w:rsid w:val="00d2437a"/>
    <w:rPr>
      <w:rFonts w:ascii="Arial" w:hAnsi="Arial" w:cs="Calibri" w:asciiTheme="minorHAnsi" w:hAnsiTheme="minorHAnsi"/>
      <w:b/>
      <w:sz w:val="24"/>
      <w:szCs w:val="22"/>
      <w:lang w:eastAsia="en-US"/>
    </w:rPr>
  </w:style>
  <w:style w:type="character" w:styleId="TitleChar" w:customStyle="1">
    <w:name w:val="Title Char"/>
    <w:basedOn w:val="DefaultParagraphFont"/>
    <w:link w:val="Title"/>
    <w:uiPriority w:val="89"/>
    <w:qFormat/>
    <w:rsid w:val="00d2437a"/>
    <w:rPr>
      <w:rFonts w:ascii="Arial" w:hAnsi="Arial" w:asciiTheme="majorHAnsi" w:hAnsiTheme="majorHAnsi"/>
      <w:b/>
      <w:sz w:val="68"/>
      <w:szCs w:val="72"/>
    </w:rPr>
  </w:style>
  <w:style w:type="character" w:styleId="BalloonTextChar" w:customStyle="1">
    <w:name w:val="Balloon Text Char"/>
    <w:basedOn w:val="DefaultParagraphFont"/>
    <w:link w:val="BalloonText"/>
    <w:uiPriority w:val="49"/>
    <w:semiHidden/>
    <w:qFormat/>
    <w:rsid w:val="00d2437a"/>
    <w:rPr>
      <w:rFonts w:ascii="Arial" w:hAnsi="Arial" w:asciiTheme="minorHAnsi" w:hAnsiTheme="minorHAnsi"/>
      <w:sz w:val="16"/>
      <w:szCs w:val="16"/>
    </w:rPr>
  </w:style>
  <w:style w:type="character" w:styleId="Heading1Char" w:customStyle="1">
    <w:name w:val="Heading 1 Char"/>
    <w:basedOn w:val="DefaultParagraphFont"/>
    <w:link w:val="Heading10"/>
    <w:uiPriority w:val="29"/>
    <w:qFormat/>
    <w:rsid w:val="00d2437a"/>
    <w:rPr>
      <w:rFonts w:ascii="Arial" w:hAnsi="Arial" w:cs="Calibri" w:asciiTheme="majorHAnsi" w:hAnsiTheme="majorHAnsi"/>
      <w:b/>
      <w:sz w:val="40"/>
      <w:szCs w:val="22"/>
      <w:lang w:eastAsia="en-US"/>
    </w:rPr>
  </w:style>
  <w:style w:type="character" w:styleId="Heading4Char" w:customStyle="1">
    <w:name w:val="Heading 4 Char"/>
    <w:basedOn w:val="DefaultParagraphFont"/>
    <w:link w:val="Heading4"/>
    <w:uiPriority w:val="9"/>
    <w:semiHidden/>
    <w:qFormat/>
    <w:rsid w:val="00d2437a"/>
    <w:rPr>
      <w:rFonts w:ascii="Arial" w:hAnsi="Arial" w:asciiTheme="minorHAnsi" w:hAnsiTheme="minorHAnsi"/>
      <w:b/>
      <w:color w:val="4D4D4D"/>
      <w:sz w:val="22"/>
      <w:szCs w:val="22"/>
      <w:lang w:eastAsia="en-US"/>
    </w:rPr>
  </w:style>
  <w:style w:type="character" w:styleId="Heading5Char" w:customStyle="1">
    <w:name w:val="Heading 5 Char"/>
    <w:basedOn w:val="DefaultParagraphFont"/>
    <w:link w:val="Heading5"/>
    <w:uiPriority w:val="9"/>
    <w:semiHidden/>
    <w:qFormat/>
    <w:rsid w:val="00d2437a"/>
    <w:rPr>
      <w:rFonts w:ascii="Arial" w:hAnsi="Arial" w:asciiTheme="minorHAnsi" w:hAnsiTheme="minorHAnsi"/>
      <w:b/>
      <w:bCs/>
      <w:i/>
      <w:color w:val="404040"/>
      <w:szCs w:val="22"/>
      <w:lang w:eastAsia="en-US"/>
    </w:rPr>
  </w:style>
  <w:style w:type="character" w:styleId="Heading6Char" w:customStyle="1">
    <w:name w:val="Heading 6 Char"/>
    <w:basedOn w:val="DefaultParagraphFont"/>
    <w:link w:val="Heading6"/>
    <w:uiPriority w:val="9"/>
    <w:semiHidden/>
    <w:qFormat/>
    <w:rsid w:val="00d2437a"/>
    <w:rPr>
      <w:rFonts w:ascii="Arial" w:hAnsi="Arial" w:asciiTheme="minorHAnsi" w:hAnsiTheme="minorHAnsi"/>
      <w:b/>
      <w:bCs/>
      <w:i/>
      <w:iCs/>
      <w:color w:val="404040"/>
      <w:szCs w:val="22"/>
      <w:lang w:eastAsia="en-US"/>
    </w:rPr>
  </w:style>
  <w:style w:type="character" w:styleId="Heading7Char" w:customStyle="1">
    <w:name w:val="Heading 7 Char"/>
    <w:basedOn w:val="DefaultParagraphFont"/>
    <w:link w:val="Heading7"/>
    <w:semiHidden/>
    <w:qFormat/>
    <w:rsid w:val="00d2437a"/>
    <w:rPr>
      <w:rFonts w:ascii="Arial" w:hAnsi="Arial" w:asciiTheme="minorHAnsi" w:hAnsiTheme="minorHAnsi"/>
      <w:b/>
      <w:bCs/>
      <w:iCs/>
      <w:color w:val="404040"/>
      <w:szCs w:val="22"/>
      <w:lang w:eastAsia="en-US"/>
    </w:rPr>
  </w:style>
  <w:style w:type="character" w:styleId="Heading8Char" w:customStyle="1">
    <w:name w:val="Heading 8 Char"/>
    <w:basedOn w:val="DefaultParagraphFont"/>
    <w:link w:val="Heading8"/>
    <w:semiHidden/>
    <w:qFormat/>
    <w:rsid w:val="00d2437a"/>
    <w:rPr>
      <w:rFonts w:ascii="Arial" w:hAnsi="Arial" w:asciiTheme="minorHAnsi" w:hAnsiTheme="minorHAnsi"/>
      <w:bCs/>
      <w:iCs/>
      <w:color w:val="404040"/>
      <w:szCs w:val="22"/>
      <w:lang w:eastAsia="en-US"/>
    </w:rPr>
  </w:style>
  <w:style w:type="character" w:styleId="Heading9Char" w:customStyle="1">
    <w:name w:val="Heading 9 Char"/>
    <w:basedOn w:val="DefaultParagraphFont"/>
    <w:link w:val="Heading9"/>
    <w:semiHidden/>
    <w:qFormat/>
    <w:rsid w:val="00d2437a"/>
    <w:rPr>
      <w:rFonts w:ascii="Arial" w:hAnsi="Arial" w:asciiTheme="minorHAnsi" w:hAnsiTheme="minorHAnsi"/>
      <w:bCs/>
      <w:iCs/>
      <w:color w:val="404040"/>
      <w:szCs w:val="22"/>
      <w:lang w:eastAsia="en-US"/>
    </w:rPr>
  </w:style>
  <w:style w:type="character" w:styleId="BodyTextChar" w:customStyle="1">
    <w:name w:val="Body Text Char"/>
    <w:basedOn w:val="DefaultParagraphFont"/>
    <w:link w:val="BodyText"/>
    <w:uiPriority w:val="49"/>
    <w:semiHidden/>
    <w:qFormat/>
    <w:rsid w:val="00d2437a"/>
    <w:rPr>
      <w:rFonts w:ascii="Arial" w:hAnsi="Arial" w:asciiTheme="minorHAnsi" w:hAnsiTheme="minorHAnsi"/>
      <w:sz w:val="22"/>
      <w:szCs w:val="22"/>
    </w:rPr>
  </w:style>
  <w:style w:type="character" w:styleId="BodyText2Char" w:customStyle="1">
    <w:name w:val="Body Text 2 Char"/>
    <w:basedOn w:val="DefaultParagraphFont"/>
    <w:link w:val="BodyText2"/>
    <w:uiPriority w:val="49"/>
    <w:semiHidden/>
    <w:qFormat/>
    <w:rsid w:val="00d2437a"/>
    <w:rPr>
      <w:rFonts w:ascii="Arial" w:hAnsi="Arial" w:asciiTheme="minorHAnsi" w:hAnsiTheme="minorHAnsi"/>
      <w:sz w:val="22"/>
      <w:szCs w:val="22"/>
    </w:rPr>
  </w:style>
  <w:style w:type="character" w:styleId="BodyText3Char" w:customStyle="1">
    <w:name w:val="Body Text 3 Char"/>
    <w:basedOn w:val="DefaultParagraphFont"/>
    <w:link w:val="BodyText3"/>
    <w:uiPriority w:val="49"/>
    <w:semiHidden/>
    <w:qFormat/>
    <w:rsid w:val="00d2437a"/>
    <w:rPr>
      <w:rFonts w:ascii="Arial" w:hAnsi="Arial" w:asciiTheme="minorHAnsi" w:hAnsiTheme="minorHAnsi"/>
      <w:sz w:val="16"/>
      <w:szCs w:val="16"/>
    </w:rPr>
  </w:style>
  <w:style w:type="character" w:styleId="BodyTextFirstIndentChar" w:customStyle="1">
    <w:name w:val="Body Text First Indent Char"/>
    <w:basedOn w:val="DefaultParagraphFont"/>
    <w:link w:val="BodyTextFirstIndent"/>
    <w:uiPriority w:val="49"/>
    <w:semiHidden/>
    <w:qFormat/>
    <w:rsid w:val="00d2437a"/>
    <w:rPr>
      <w:rFonts w:ascii="Arial" w:hAnsi="Arial" w:asciiTheme="minorHAnsi" w:hAnsiTheme="minorHAnsi"/>
      <w:sz w:val="22"/>
      <w:szCs w:val="22"/>
    </w:rPr>
  </w:style>
  <w:style w:type="character" w:styleId="BodyTextIndentChar" w:customStyle="1">
    <w:name w:val="Body Text Indent Char"/>
    <w:basedOn w:val="DefaultParagraphFont"/>
    <w:link w:val="BodyTextIndent"/>
    <w:uiPriority w:val="49"/>
    <w:semiHidden/>
    <w:qFormat/>
    <w:rsid w:val="00d2437a"/>
    <w:rPr>
      <w:rFonts w:ascii="Arial" w:hAnsi="Arial" w:asciiTheme="minorHAnsi" w:hAnsiTheme="minorHAnsi"/>
      <w:sz w:val="22"/>
      <w:szCs w:val="22"/>
    </w:rPr>
  </w:style>
  <w:style w:type="character" w:styleId="BodyTextFirstIndent2Char" w:customStyle="1">
    <w:name w:val="Body Text First Indent 2 Char"/>
    <w:basedOn w:val="BodyTextIndentChar"/>
    <w:link w:val="BodyTextFirstIndent2"/>
    <w:uiPriority w:val="49"/>
    <w:semiHidden/>
    <w:qFormat/>
    <w:rsid w:val="00d2437a"/>
    <w:rPr>
      <w:rFonts w:ascii="Arial" w:hAnsi="Arial" w:asciiTheme="minorHAnsi" w:hAnsiTheme="minorHAnsi"/>
      <w:sz w:val="22"/>
      <w:szCs w:val="22"/>
    </w:rPr>
  </w:style>
  <w:style w:type="character" w:styleId="BodyTextIndent2Char" w:customStyle="1">
    <w:name w:val="Body Text Indent 2 Char"/>
    <w:basedOn w:val="DefaultParagraphFont"/>
    <w:link w:val="BodyTextIndent2"/>
    <w:uiPriority w:val="49"/>
    <w:semiHidden/>
    <w:qFormat/>
    <w:rsid w:val="00d2437a"/>
    <w:rPr>
      <w:rFonts w:ascii="Arial" w:hAnsi="Arial" w:asciiTheme="minorHAnsi" w:hAnsiTheme="minorHAnsi"/>
      <w:sz w:val="22"/>
      <w:szCs w:val="22"/>
    </w:rPr>
  </w:style>
  <w:style w:type="character" w:styleId="BodyTextIndent3Char" w:customStyle="1">
    <w:name w:val="Body Text Indent 3 Char"/>
    <w:basedOn w:val="DefaultParagraphFont"/>
    <w:link w:val="BodyTextIndent3"/>
    <w:uiPriority w:val="49"/>
    <w:semiHidden/>
    <w:qFormat/>
    <w:rsid w:val="00d2437a"/>
    <w:rPr>
      <w:rFonts w:ascii="Arial" w:hAnsi="Arial" w:asciiTheme="minorHAnsi" w:hAnsiTheme="minorHAnsi"/>
      <w:sz w:val="16"/>
      <w:szCs w:val="16"/>
    </w:rPr>
  </w:style>
  <w:style w:type="character" w:styleId="ClosingChar" w:customStyle="1">
    <w:name w:val="Closing Char"/>
    <w:basedOn w:val="DefaultParagraphFont"/>
    <w:link w:val="Closing"/>
    <w:uiPriority w:val="49"/>
    <w:semiHidden/>
    <w:qFormat/>
    <w:rsid w:val="00d2437a"/>
    <w:rPr>
      <w:rFonts w:ascii="Arial" w:hAnsi="Arial" w:asciiTheme="minorHAnsi" w:hAnsiTheme="minorHAnsi"/>
      <w:sz w:val="22"/>
      <w:szCs w:val="22"/>
    </w:rPr>
  </w:style>
  <w:style w:type="character" w:styleId="CommentTextChar" w:customStyle="1">
    <w:name w:val="Comment Text Char"/>
    <w:basedOn w:val="DefaultParagraphFont"/>
    <w:link w:val="CommentText"/>
    <w:semiHidden/>
    <w:qFormat/>
    <w:rsid w:val="00d2437a"/>
    <w:rPr>
      <w:rFonts w:ascii="Arial" w:hAnsi="Arial" w:asciiTheme="minorHAnsi" w:hAnsiTheme="minorHAnsi"/>
      <w:sz w:val="22"/>
      <w:szCs w:val="22"/>
    </w:rPr>
  </w:style>
  <w:style w:type="character" w:styleId="CommentSubjectChar" w:customStyle="1">
    <w:name w:val="Comment Subject Char"/>
    <w:basedOn w:val="CommentTextChar"/>
    <w:link w:val="CommentSubject"/>
    <w:uiPriority w:val="49"/>
    <w:semiHidden/>
    <w:qFormat/>
    <w:rsid w:val="00d2437a"/>
    <w:rPr>
      <w:rFonts w:ascii="Arial" w:hAnsi="Arial" w:asciiTheme="minorHAnsi" w:hAnsiTheme="minorHAnsi"/>
      <w:b/>
      <w:bCs/>
      <w:sz w:val="22"/>
      <w:szCs w:val="22"/>
    </w:rPr>
  </w:style>
  <w:style w:type="character" w:styleId="DateChar" w:customStyle="1">
    <w:name w:val="Date Char"/>
    <w:basedOn w:val="DefaultParagraphFont"/>
    <w:link w:val="Date"/>
    <w:uiPriority w:val="49"/>
    <w:semiHidden/>
    <w:qFormat/>
    <w:rsid w:val="00d2437a"/>
    <w:rPr>
      <w:rFonts w:ascii="Arial" w:hAnsi="Arial" w:asciiTheme="minorHAnsi" w:hAnsiTheme="minorHAnsi"/>
      <w:sz w:val="22"/>
      <w:szCs w:val="22"/>
    </w:rPr>
  </w:style>
  <w:style w:type="character" w:styleId="DocumentMapChar" w:customStyle="1">
    <w:name w:val="Document Map Char"/>
    <w:basedOn w:val="DefaultParagraphFont"/>
    <w:link w:val="DocumentMap"/>
    <w:uiPriority w:val="49"/>
    <w:semiHidden/>
    <w:qFormat/>
    <w:rsid w:val="00d2437a"/>
    <w:rPr>
      <w:rFonts w:ascii="Arial" w:hAnsi="Arial" w:asciiTheme="minorHAnsi" w:hAnsiTheme="minorHAnsi"/>
      <w:sz w:val="22"/>
      <w:szCs w:val="22"/>
      <w:shd w:fill="000080" w:val="clear"/>
    </w:rPr>
  </w:style>
  <w:style w:type="character" w:styleId="EmailSignatureChar" w:customStyle="1">
    <w:name w:val="E-mail Signature Char"/>
    <w:basedOn w:val="DefaultParagraphFont"/>
    <w:link w:val="E-mailSignature"/>
    <w:uiPriority w:val="49"/>
    <w:semiHidden/>
    <w:qFormat/>
    <w:rsid w:val="00d2437a"/>
    <w:rPr>
      <w:rFonts w:ascii="Arial" w:hAnsi="Arial" w:asciiTheme="minorHAnsi" w:hAnsiTheme="minorHAnsi"/>
      <w:sz w:val="22"/>
      <w:szCs w:val="22"/>
    </w:rPr>
  </w:style>
  <w:style w:type="character" w:styleId="EndnoteTextChar" w:customStyle="1">
    <w:name w:val="Endnote Text Char"/>
    <w:basedOn w:val="DefaultParagraphFont"/>
    <w:link w:val="EndnoteText"/>
    <w:uiPriority w:val="49"/>
    <w:semiHidden/>
    <w:qFormat/>
    <w:rsid w:val="00d2437a"/>
    <w:rPr>
      <w:rFonts w:ascii="Arial" w:hAnsi="Arial" w:asciiTheme="minorHAnsi" w:hAnsiTheme="minorHAnsi"/>
      <w:sz w:val="22"/>
      <w:szCs w:val="22"/>
    </w:rPr>
  </w:style>
  <w:style w:type="character" w:styleId="FootnoteTextChar" w:customStyle="1">
    <w:name w:val="Footnote Text Char"/>
    <w:basedOn w:val="DefaultParagraphFont"/>
    <w:link w:val="FootnoteText"/>
    <w:uiPriority w:val="49"/>
    <w:semiHidden/>
    <w:qFormat/>
    <w:rsid w:val="00d2437a"/>
    <w:rPr>
      <w:rFonts w:ascii="Arial" w:hAnsi="Arial" w:asciiTheme="minorHAnsi" w:hAnsiTheme="minorHAnsi"/>
      <w:sz w:val="22"/>
      <w:szCs w:val="22"/>
    </w:rPr>
  </w:style>
  <w:style w:type="character" w:styleId="HTMLAddressChar" w:customStyle="1">
    <w:name w:val="HTML Address Char"/>
    <w:basedOn w:val="DefaultParagraphFont"/>
    <w:link w:val="HTMLAddress"/>
    <w:uiPriority w:val="49"/>
    <w:semiHidden/>
    <w:qFormat/>
    <w:rsid w:val="00d2437a"/>
    <w:rPr>
      <w:rFonts w:ascii="Arial" w:hAnsi="Arial" w:asciiTheme="minorHAnsi" w:hAnsiTheme="minorHAnsi"/>
      <w:i/>
      <w:iCs/>
      <w:sz w:val="22"/>
      <w:szCs w:val="22"/>
    </w:rPr>
  </w:style>
  <w:style w:type="character" w:styleId="HTMLPreformattedChar" w:customStyle="1">
    <w:name w:val="HTML Preformatted Char"/>
    <w:basedOn w:val="DefaultParagraphFont"/>
    <w:link w:val="HTMLPreformatted"/>
    <w:uiPriority w:val="49"/>
    <w:semiHidden/>
    <w:qFormat/>
    <w:rsid w:val="00d2437a"/>
    <w:rPr>
      <w:rFonts w:ascii="Arial" w:hAnsi="Arial" w:asciiTheme="minorHAnsi" w:hAnsiTheme="minorHAnsi"/>
      <w:sz w:val="22"/>
      <w:szCs w:val="22"/>
    </w:rPr>
  </w:style>
  <w:style w:type="character" w:styleId="IntenseEmphasis">
    <w:name w:val="Intense Emphasis"/>
    <w:uiPriority w:val="21"/>
    <w:semiHidden/>
    <w:qFormat/>
    <w:rsid w:val="00d2437a"/>
    <w:rPr>
      <w:b/>
      <w:bCs/>
      <w:i/>
      <w:iCs/>
      <w:color w:val="4F81BD"/>
    </w:rPr>
  </w:style>
  <w:style w:type="character" w:styleId="IntenseReference">
    <w:name w:val="Intense Reference"/>
    <w:uiPriority w:val="32"/>
    <w:semiHidden/>
    <w:qFormat/>
    <w:rsid w:val="00d2437a"/>
    <w:rPr>
      <w:b/>
      <w:bCs/>
      <w:smallCaps/>
      <w:color w:val="C0504D"/>
      <w:spacing w:val="5"/>
      <w:u w:val="single"/>
    </w:rPr>
  </w:style>
  <w:style w:type="character" w:styleId="MacroTextChar" w:customStyle="1">
    <w:name w:val="Macro Text Char"/>
    <w:basedOn w:val="DefaultParagraphFont"/>
    <w:link w:val="MacroText"/>
    <w:uiPriority w:val="49"/>
    <w:semiHidden/>
    <w:qFormat/>
    <w:rsid w:val="00d2437a"/>
    <w:rPr>
      <w:rFonts w:ascii="Calibri" w:hAnsi="Calibri" w:cs="Calibri"/>
      <w:sz w:val="22"/>
      <w:szCs w:val="22"/>
    </w:rPr>
  </w:style>
  <w:style w:type="character" w:styleId="MessageHeaderChar" w:customStyle="1">
    <w:name w:val="Message Header Char"/>
    <w:basedOn w:val="DefaultParagraphFont"/>
    <w:link w:val="MessageHeader"/>
    <w:uiPriority w:val="49"/>
    <w:semiHidden/>
    <w:qFormat/>
    <w:rsid w:val="00d2437a"/>
    <w:rPr>
      <w:rFonts w:ascii="Arial" w:hAnsi="Arial" w:asciiTheme="minorHAnsi" w:hAnsiTheme="minorHAnsi"/>
      <w:sz w:val="24"/>
      <w:szCs w:val="24"/>
      <w:shd w:fill="CCCCCC" w:val="clear"/>
    </w:rPr>
  </w:style>
  <w:style w:type="character" w:styleId="PlainTextChar" w:customStyle="1">
    <w:name w:val="Plain Text Char"/>
    <w:basedOn w:val="DefaultParagraphFont"/>
    <w:link w:val="PlainText"/>
    <w:uiPriority w:val="49"/>
    <w:semiHidden/>
    <w:qFormat/>
    <w:rsid w:val="00d2437a"/>
    <w:rPr>
      <w:rFonts w:ascii="Arial" w:hAnsi="Arial" w:asciiTheme="minorHAnsi" w:hAnsiTheme="minorHAnsi"/>
      <w:sz w:val="22"/>
      <w:szCs w:val="22"/>
    </w:rPr>
  </w:style>
  <w:style w:type="character" w:styleId="SalutationChar" w:customStyle="1">
    <w:name w:val="Salutation Char"/>
    <w:basedOn w:val="DefaultParagraphFont"/>
    <w:link w:val="Salutation"/>
    <w:uiPriority w:val="49"/>
    <w:semiHidden/>
    <w:qFormat/>
    <w:rsid w:val="00d2437a"/>
    <w:rPr>
      <w:rFonts w:ascii="Arial" w:hAnsi="Arial" w:asciiTheme="minorHAnsi" w:hAnsiTheme="minorHAnsi"/>
      <w:sz w:val="22"/>
      <w:szCs w:val="22"/>
    </w:rPr>
  </w:style>
  <w:style w:type="character" w:styleId="SignatureChar" w:customStyle="1">
    <w:name w:val="Signature Char"/>
    <w:basedOn w:val="DefaultParagraphFont"/>
    <w:link w:val="Signature"/>
    <w:uiPriority w:val="49"/>
    <w:semiHidden/>
    <w:qFormat/>
    <w:rsid w:val="00d2437a"/>
    <w:rPr>
      <w:rFonts w:ascii="Arial" w:hAnsi="Arial" w:asciiTheme="minorHAnsi" w:hAnsiTheme="minorHAnsi"/>
      <w:sz w:val="22"/>
      <w:szCs w:val="22"/>
    </w:rPr>
  </w:style>
  <w:style w:type="character" w:styleId="Strong">
    <w:name w:val="Strong"/>
    <w:uiPriority w:val="22"/>
    <w:semiHidden/>
    <w:qFormat/>
    <w:rsid w:val="00d2437a"/>
    <w:rPr>
      <w:b/>
      <w:bCs/>
    </w:rPr>
  </w:style>
  <w:style w:type="character" w:styleId="SubtleEmphasis">
    <w:name w:val="Subtle Emphasis"/>
    <w:uiPriority w:val="19"/>
    <w:semiHidden/>
    <w:qFormat/>
    <w:rsid w:val="00d2437a"/>
    <w:rPr>
      <w:i/>
      <w:iCs/>
      <w:color w:val="808080"/>
    </w:rPr>
  </w:style>
  <w:style w:type="character" w:styleId="SubtleReference">
    <w:name w:val="Subtle Reference"/>
    <w:uiPriority w:val="31"/>
    <w:semiHidden/>
    <w:qFormat/>
    <w:rsid w:val="00d2437a"/>
    <w:rPr>
      <w:smallCaps/>
      <w:color w:val="C0504D"/>
      <w:u w:val="single"/>
    </w:rPr>
  </w:style>
  <w:style w:type="character" w:styleId="HeaderChar" w:customStyle="1">
    <w:name w:val="Header Char"/>
    <w:basedOn w:val="DefaultParagraphFont"/>
    <w:link w:val="Header"/>
    <w:uiPriority w:val="24"/>
    <w:semiHidden/>
    <w:qFormat/>
    <w:rsid w:val="00d2437a"/>
    <w:rPr>
      <w:rFonts w:ascii="Arial" w:hAnsi="Arial" w:asciiTheme="minorHAnsi" w:hAnsiTheme="minorHAnsi"/>
      <w:sz w:val="22"/>
      <w:szCs w:val="22"/>
    </w:rPr>
  </w:style>
  <w:style w:type="character" w:styleId="BodyTextChar1" w:customStyle="1">
    <w:name w:val="Body Text Char1"/>
    <w:basedOn w:val="DefaultParagraphFont"/>
    <w:uiPriority w:val="49"/>
    <w:semiHidden/>
    <w:qFormat/>
    <w:rsid w:val="00d2437a"/>
    <w:rPr>
      <w:rFonts w:ascii="Calibri" w:hAnsi="Calibri" w:eastAsia="Times New Roman" w:cs="Times New Roman"/>
      <w:lang w:val="en-AU" w:eastAsia="en-A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49"/>
    <w:semiHidden/>
    <w:rsid w:val="00d2437a"/>
    <w:pPr/>
    <w:rPr/>
  </w:style>
  <w:style w:type="paragraph" w:styleId="List">
    <w:name w:val="List"/>
    <w:basedOn w:val="Normal"/>
    <w:uiPriority w:val="49"/>
    <w:semiHidden/>
    <w:rsid w:val="00d2437a"/>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ullet1" w:customStyle="1">
    <w:name w:val="Bullet 1"/>
    <w:basedOn w:val="Normal"/>
    <w:uiPriority w:val="49"/>
    <w:semiHidden/>
    <w:qFormat/>
    <w:rsid w:val="00d2437a"/>
    <w:pPr>
      <w:spacing w:before="80" w:after="80"/>
    </w:pPr>
    <w:rPr/>
  </w:style>
  <w:style w:type="paragraph" w:styleId="Annotationtext">
    <w:name w:val="annotation text"/>
    <w:basedOn w:val="Normal"/>
    <w:link w:val="CommentTextChar"/>
    <w:semiHidden/>
    <w:qFormat/>
    <w:rsid w:val="00d2437a"/>
    <w:pPr/>
    <w:rPr/>
  </w:style>
  <w:style w:type="paragraph" w:styleId="Endnote">
    <w:name w:val="Endnote Text"/>
    <w:basedOn w:val="Normal"/>
    <w:link w:val="EndnoteTextChar"/>
    <w:uiPriority w:val="49"/>
    <w:semiHidden/>
    <w:rsid w:val="00d2437a"/>
    <w:pPr/>
    <w:rPr/>
  </w:style>
  <w:style w:type="paragraph" w:styleId="HeaderandFooter">
    <w:name w:val="Header and Footer"/>
    <w:basedOn w:val="Normal"/>
    <w:qFormat/>
    <w:pPr/>
    <w:rPr/>
  </w:style>
  <w:style w:type="paragraph" w:styleId="Footer">
    <w:name w:val="Footer"/>
    <w:link w:val="FooterChar"/>
    <w:uiPriority w:val="89"/>
    <w:rsid w:val="00b3098a"/>
    <w:pPr>
      <w:widowControl/>
      <w:tabs>
        <w:tab w:val="clear" w:pos="720"/>
        <w:tab w:val="right" w:pos="9900" w:leader="none"/>
      </w:tabs>
      <w:bidi w:val="0"/>
      <w:spacing w:before="0" w:after="0"/>
      <w:jc w:val="left"/>
    </w:pPr>
    <w:rPr>
      <w:rFonts w:ascii="Arial" w:hAnsi="Arial" w:cs="Calibri" w:asciiTheme="minorHAnsi" w:hAnsiTheme="minorHAnsi" w:eastAsia="Times New Roman"/>
      <w:color w:val="4C4C4C"/>
      <w:kern w:val="0"/>
      <w:sz w:val="22"/>
      <w:szCs w:val="20"/>
      <w:lang w:val="en-AU" w:eastAsia="en-AU" w:bidi="ar-SA"/>
    </w:rPr>
  </w:style>
  <w:style w:type="paragraph" w:styleId="Footnote">
    <w:name w:val="Footnote Text"/>
    <w:basedOn w:val="Normal"/>
    <w:link w:val="FootnoteTextChar"/>
    <w:uiPriority w:val="49"/>
    <w:semiHidden/>
    <w:rsid w:val="00d2437a"/>
    <w:pPr/>
    <w:rPr/>
  </w:style>
  <w:style w:type="paragraph" w:styleId="Macro">
    <w:name w:val="macro"/>
    <w:link w:val="MacroTextChar"/>
    <w:uiPriority w:val="49"/>
    <w:semiHidden/>
    <w:qFormat/>
    <w:rsid w:val="00d2437a"/>
    <w:pPr>
      <w:widowControl/>
      <w:bidi w:val="0"/>
      <w:spacing w:before="100" w:after="100"/>
      <w:ind w:left="792" w:hanging="0"/>
      <w:jc w:val="left"/>
    </w:pPr>
    <w:rPr>
      <w:rFonts w:ascii="Calibri" w:hAnsi="Calibri" w:cs="Calibri" w:eastAsia="Times New Roman"/>
      <w:color w:val="auto"/>
      <w:kern w:val="0"/>
      <w:sz w:val="22"/>
      <w:szCs w:val="22"/>
      <w:lang w:val="en-AU" w:eastAsia="en-AU" w:bidi="ar-SA"/>
    </w:rPr>
  </w:style>
  <w:style w:type="paragraph" w:styleId="NormalIndentItalics" w:customStyle="1">
    <w:name w:val="Normal Indent Italics"/>
    <w:basedOn w:val="NormalIndent"/>
    <w:uiPriority w:val="13"/>
    <w:semiHidden/>
    <w:qFormat/>
    <w:pPr/>
    <w:rPr>
      <w:i/>
    </w:rPr>
  </w:style>
  <w:style w:type="paragraph" w:styleId="Tableofauthorities">
    <w:name w:val="table of authorities"/>
    <w:basedOn w:val="Normal"/>
    <w:next w:val="Normal"/>
    <w:uiPriority w:val="39"/>
    <w:semiHidden/>
    <w:qFormat/>
    <w:rsid w:val="00d2437a"/>
    <w:pPr>
      <w:tabs>
        <w:tab w:val="clear" w:pos="720"/>
        <w:tab w:val="right" w:pos="9072" w:leader="none"/>
      </w:tabs>
      <w:ind w:left="200" w:hanging="200"/>
    </w:pPr>
    <w:rPr/>
  </w:style>
  <w:style w:type="paragraph" w:styleId="Title">
    <w:name w:val="Title"/>
    <w:basedOn w:val="Normal"/>
    <w:link w:val="TitleChar"/>
    <w:uiPriority w:val="89"/>
    <w:qFormat/>
    <w:rsid w:val="00d2437a"/>
    <w:pPr>
      <w:spacing w:before="0" w:after="40"/>
    </w:pPr>
    <w:rPr>
      <w:rFonts w:ascii="Arial" w:hAnsi="Arial" w:asciiTheme="majorHAnsi" w:hAnsiTheme="majorHAnsi"/>
      <w:b/>
      <w:sz w:val="68"/>
      <w:szCs w:val="72"/>
    </w:rPr>
  </w:style>
  <w:style w:type="paragraph" w:styleId="Contents1">
    <w:name w:val="TOC 1"/>
    <w:basedOn w:val="Normal"/>
    <w:next w:val="Normal"/>
    <w:uiPriority w:val="39"/>
    <w:rsid w:val="008e68e0"/>
    <w:pPr>
      <w:tabs>
        <w:tab w:val="clear" w:pos="720"/>
        <w:tab w:val="right" w:pos="9090" w:leader="dot"/>
      </w:tabs>
      <w:spacing w:lineRule="auto" w:line="216" w:before="180" w:after="100"/>
      <w:ind w:left="792" w:right="850" w:hanging="792"/>
    </w:pPr>
    <w:rPr>
      <w:sz w:val="24"/>
      <w:szCs w:val="28"/>
    </w:rPr>
  </w:style>
  <w:style w:type="paragraph" w:styleId="Contents2">
    <w:name w:val="TOC 2"/>
    <w:next w:val="Normal"/>
    <w:autoRedefine/>
    <w:uiPriority w:val="39"/>
    <w:rsid w:val="00d2437a"/>
    <w:pPr>
      <w:widowControl/>
      <w:tabs>
        <w:tab w:val="clear" w:pos="720"/>
        <w:tab w:val="left" w:pos="1620" w:leader="none"/>
        <w:tab w:val="right" w:pos="9090" w:leader="dot"/>
      </w:tabs>
      <w:bidi w:val="0"/>
      <w:spacing w:before="20" w:after="100"/>
      <w:ind w:left="2382" w:right="851" w:hanging="794"/>
      <w:contextualSpacing/>
      <w:jc w:val="left"/>
    </w:pPr>
    <w:rPr>
      <w:rFonts w:ascii="Arial" w:hAnsi="Arial" w:cs="Calibri" w:asciiTheme="minorHAnsi" w:hAnsiTheme="minorHAnsi" w:eastAsia="Times New Roman"/>
      <w:color w:val="000000"/>
      <w:kern w:val="0"/>
      <w:sz w:val="21"/>
      <w:szCs w:val="22"/>
      <w:lang w:val="en-AU" w:eastAsia="en-AU" w:bidi="ar-SA"/>
    </w:rPr>
  </w:style>
  <w:style w:type="paragraph" w:styleId="Contents3">
    <w:name w:val="TOC 3"/>
    <w:basedOn w:val="Contents1"/>
    <w:next w:val="Normal"/>
    <w:autoRedefine/>
    <w:uiPriority w:val="39"/>
    <w:rsid w:val="00d2437a"/>
    <w:pPr>
      <w:spacing w:lineRule="auto" w:line="240"/>
      <w:ind w:left="0" w:right="850" w:hanging="0"/>
    </w:pPr>
    <w:rPr/>
  </w:style>
  <w:style w:type="paragraph" w:styleId="Contents5">
    <w:name w:val="TOC 5"/>
    <w:basedOn w:val="Normal"/>
    <w:next w:val="Normal"/>
    <w:autoRedefine/>
    <w:uiPriority w:val="39"/>
    <w:unhideWhenUsed/>
    <w:rsid w:val="00d2437a"/>
    <w:pPr>
      <w:spacing w:lineRule="auto" w:line="276" w:before="0" w:after="100"/>
      <w:ind w:left="880" w:hanging="0"/>
    </w:pPr>
    <w:rPr>
      <w:rFonts w:eastAsia="" w:cs="" w:cstheme="minorBidi" w:eastAsiaTheme="minorEastAsia"/>
    </w:rPr>
  </w:style>
  <w:style w:type="paragraph" w:styleId="Date">
    <w:name w:val="Date"/>
    <w:basedOn w:val="Normal"/>
    <w:next w:val="Normal"/>
    <w:link w:val="DateChar"/>
    <w:uiPriority w:val="49"/>
    <w:semiHidden/>
    <w:qFormat/>
    <w:rsid w:val="00d2437a"/>
    <w:pPr>
      <w:ind w:left="1411" w:hanging="0"/>
    </w:pPr>
    <w:rPr/>
  </w:style>
  <w:style w:type="paragraph" w:styleId="Quotation" w:customStyle="1">
    <w:name w:val="Quotation"/>
    <w:basedOn w:val="Normal"/>
    <w:next w:val="Normal"/>
    <w:uiPriority w:val="49"/>
    <w:semiHidden/>
    <w:qFormat/>
    <w:rsid w:val="00d2437a"/>
    <w:pPr>
      <w:spacing w:before="40" w:after="100"/>
      <w:jc w:val="center"/>
    </w:pPr>
    <w:rPr>
      <w:i/>
      <w:iCs/>
      <w:color w:val="003399"/>
      <w:sz w:val="18"/>
      <w:lang w:eastAsia="en-US"/>
    </w:rPr>
  </w:style>
  <w:style w:type="paragraph" w:styleId="Contents6">
    <w:name w:val="TOC 6"/>
    <w:basedOn w:val="Normal"/>
    <w:next w:val="Normal"/>
    <w:autoRedefine/>
    <w:uiPriority w:val="39"/>
    <w:unhideWhenUsed/>
    <w:rsid w:val="00d2437a"/>
    <w:pPr>
      <w:spacing w:lineRule="auto" w:line="276" w:before="0" w:after="100"/>
      <w:ind w:left="1100" w:hanging="0"/>
    </w:pPr>
    <w:rPr>
      <w:rFonts w:eastAsia="" w:cs="" w:cstheme="minorBidi" w:eastAsiaTheme="minorEastAsia"/>
    </w:rPr>
  </w:style>
  <w:style w:type="paragraph" w:styleId="Contents7">
    <w:name w:val="TOC 7"/>
    <w:basedOn w:val="Normal"/>
    <w:next w:val="Normal"/>
    <w:autoRedefine/>
    <w:uiPriority w:val="39"/>
    <w:unhideWhenUsed/>
    <w:rsid w:val="00d2437a"/>
    <w:pPr>
      <w:spacing w:lineRule="auto" w:line="276" w:before="0" w:after="100"/>
      <w:ind w:left="1320" w:hanging="0"/>
    </w:pPr>
    <w:rPr>
      <w:rFonts w:eastAsia="" w:cs="" w:cstheme="minorBidi" w:eastAsiaTheme="minorEastAsia"/>
    </w:rPr>
  </w:style>
  <w:style w:type="paragraph" w:styleId="Contents8">
    <w:name w:val="TOC 8"/>
    <w:basedOn w:val="Normal"/>
    <w:next w:val="Normal"/>
    <w:autoRedefine/>
    <w:uiPriority w:val="39"/>
    <w:unhideWhenUsed/>
    <w:rsid w:val="00d2437a"/>
    <w:pPr>
      <w:spacing w:lineRule="auto" w:line="276" w:before="0" w:after="100"/>
      <w:ind w:left="1540" w:hanging="0"/>
    </w:pPr>
    <w:rPr>
      <w:rFonts w:eastAsia="" w:cs="" w:cstheme="minorBidi" w:eastAsiaTheme="minorEastAsia"/>
    </w:rPr>
  </w:style>
  <w:style w:type="paragraph" w:styleId="Contents9">
    <w:name w:val="TOC 9"/>
    <w:basedOn w:val="Normal"/>
    <w:next w:val="Normal"/>
    <w:autoRedefine/>
    <w:uiPriority w:val="39"/>
    <w:rsid w:val="00d2437a"/>
    <w:pPr>
      <w:ind w:left="2835" w:right="2835" w:hanging="0"/>
    </w:pPr>
    <w:rPr/>
  </w:style>
  <w:style w:type="paragraph" w:styleId="BodyText2">
    <w:name w:val="Body Text 2"/>
    <w:basedOn w:val="Normal"/>
    <w:link w:val="BodyText2Char"/>
    <w:uiPriority w:val="49"/>
    <w:semiHidden/>
    <w:qFormat/>
    <w:rsid w:val="00d2437a"/>
    <w:pPr>
      <w:spacing w:lineRule="auto" w:line="480" w:before="100" w:after="120"/>
    </w:pPr>
    <w:rPr/>
  </w:style>
  <w:style w:type="paragraph" w:styleId="ListBulletBold" w:customStyle="1">
    <w:name w:val="List Bullet Bold"/>
    <w:basedOn w:val="Normal"/>
    <w:next w:val="Normal"/>
    <w:uiPriority w:val="49"/>
    <w:semiHidden/>
    <w:qFormat/>
    <w:rsid w:val="00d2437a"/>
    <w:pPr/>
    <w:rPr>
      <w:b/>
    </w:rPr>
  </w:style>
  <w:style w:type="paragraph" w:styleId="BalloonText">
    <w:name w:val="Balloon Text"/>
    <w:basedOn w:val="Normal"/>
    <w:link w:val="BalloonTextChar"/>
    <w:uiPriority w:val="49"/>
    <w:semiHidden/>
    <w:qFormat/>
    <w:rsid w:val="00d2437a"/>
    <w:pPr/>
    <w:rPr>
      <w:sz w:val="16"/>
      <w:szCs w:val="16"/>
    </w:rPr>
  </w:style>
  <w:style w:type="paragraph" w:styleId="BlockText">
    <w:name w:val="Block Text"/>
    <w:basedOn w:val="Normal"/>
    <w:uiPriority w:val="49"/>
    <w:semiHidden/>
    <w:qFormat/>
    <w:rsid w:val="00d2437a"/>
    <w:pPr>
      <w:spacing w:before="100" w:after="120"/>
      <w:ind w:left="1440" w:right="1440" w:hanging="0"/>
    </w:pPr>
    <w:rPr/>
  </w:style>
  <w:style w:type="paragraph" w:styleId="BodyText3">
    <w:name w:val="Body Text 3"/>
    <w:basedOn w:val="Normal"/>
    <w:link w:val="BodyText3Char"/>
    <w:uiPriority w:val="49"/>
    <w:semiHidden/>
    <w:qFormat/>
    <w:rsid w:val="00d2437a"/>
    <w:pPr>
      <w:spacing w:before="100" w:after="120"/>
    </w:pPr>
    <w:rPr>
      <w:sz w:val="16"/>
      <w:szCs w:val="16"/>
    </w:rPr>
  </w:style>
  <w:style w:type="paragraph" w:styleId="BodyTextIndent">
    <w:name w:val="Body Text Indent"/>
    <w:basedOn w:val="Normal"/>
    <w:link w:val="BodyTextFirstIndentChar"/>
    <w:uiPriority w:val="49"/>
    <w:semiHidden/>
    <w:qFormat/>
    <w:rsid w:val="00d2437a"/>
    <w:pPr>
      <w:spacing w:before="100" w:after="120"/>
      <w:ind w:firstLine="210"/>
    </w:pPr>
    <w:rPr/>
  </w:style>
  <w:style w:type="paragraph" w:styleId="TextBodyIndent">
    <w:name w:val="Body Text Indent"/>
    <w:basedOn w:val="Normal"/>
    <w:link w:val="BodyTextIndentChar"/>
    <w:uiPriority w:val="49"/>
    <w:semiHidden/>
    <w:rsid w:val="00d2437a"/>
    <w:pPr>
      <w:spacing w:before="100" w:after="120"/>
      <w:ind w:left="283" w:hanging="0"/>
    </w:pPr>
    <w:rPr/>
  </w:style>
  <w:style w:type="paragraph" w:styleId="BodyTextFirstIndent2">
    <w:name w:val="Body Text First Indent 2"/>
    <w:basedOn w:val="TextBodyIndent"/>
    <w:link w:val="BodyTextFirstIndent2Char"/>
    <w:uiPriority w:val="49"/>
    <w:semiHidden/>
    <w:qFormat/>
    <w:rsid w:val="00d2437a"/>
    <w:pPr>
      <w:ind w:left="283" w:firstLine="210"/>
    </w:pPr>
    <w:rPr/>
  </w:style>
  <w:style w:type="paragraph" w:styleId="BodyTextIndent2">
    <w:name w:val="Body Text Indent 2"/>
    <w:basedOn w:val="Normal"/>
    <w:link w:val="BodyTextIndent2Char"/>
    <w:uiPriority w:val="49"/>
    <w:semiHidden/>
    <w:qFormat/>
    <w:rsid w:val="00d2437a"/>
    <w:pPr>
      <w:spacing w:lineRule="auto" w:line="480" w:before="100" w:after="120"/>
      <w:ind w:left="283" w:hanging="0"/>
    </w:pPr>
    <w:rPr/>
  </w:style>
  <w:style w:type="paragraph" w:styleId="BodyTextIndent3">
    <w:name w:val="Body Text Indent 3"/>
    <w:basedOn w:val="Normal"/>
    <w:link w:val="BodyTextIndent3Char"/>
    <w:uiPriority w:val="49"/>
    <w:semiHidden/>
    <w:qFormat/>
    <w:rsid w:val="00d2437a"/>
    <w:pPr>
      <w:spacing w:before="100" w:after="120"/>
      <w:ind w:left="283" w:hanging="0"/>
    </w:pPr>
    <w:rPr>
      <w:sz w:val="16"/>
      <w:szCs w:val="16"/>
    </w:rPr>
  </w:style>
  <w:style w:type="paragraph" w:styleId="NoteHeading">
    <w:name w:val="Note Heading"/>
    <w:basedOn w:val="Normal"/>
    <w:next w:val="Normal"/>
    <w:semiHidden/>
    <w:qFormat/>
    <w:pPr/>
    <w:rPr/>
  </w:style>
  <w:style w:type="paragraph" w:styleId="Closing">
    <w:name w:val="Closing"/>
    <w:basedOn w:val="Normal"/>
    <w:link w:val="ClosingChar"/>
    <w:uiPriority w:val="49"/>
    <w:semiHidden/>
    <w:qFormat/>
    <w:rsid w:val="00d2437a"/>
    <w:pPr>
      <w:ind w:left="4252" w:hanging="0"/>
    </w:pPr>
    <w:rPr/>
  </w:style>
  <w:style w:type="paragraph" w:styleId="Annotationsubject">
    <w:name w:val="annotation subject"/>
    <w:basedOn w:val="Annotationtext"/>
    <w:next w:val="Annotationtext"/>
    <w:link w:val="CommentSubjectChar"/>
    <w:uiPriority w:val="49"/>
    <w:semiHidden/>
    <w:qFormat/>
    <w:rsid w:val="00d2437a"/>
    <w:pPr/>
    <w:rPr>
      <w:b/>
      <w:bCs/>
    </w:rPr>
  </w:style>
  <w:style w:type="paragraph" w:styleId="DocumentMap">
    <w:name w:val="Document Map"/>
    <w:basedOn w:val="Normal"/>
    <w:link w:val="DocumentMapChar"/>
    <w:uiPriority w:val="49"/>
    <w:semiHidden/>
    <w:qFormat/>
    <w:rsid w:val="00d2437a"/>
    <w:pPr>
      <w:shd w:val="clear" w:color="auto" w:fill="000080"/>
    </w:pPr>
    <w:rPr/>
  </w:style>
  <w:style w:type="paragraph" w:styleId="EmailSignature">
    <w:name w:val="E-mail Signature"/>
    <w:basedOn w:val="Normal"/>
    <w:link w:val="E-mailSignatureChar"/>
    <w:uiPriority w:val="49"/>
    <w:semiHidden/>
    <w:qFormat/>
    <w:rsid w:val="00d2437a"/>
    <w:pPr/>
    <w:rPr/>
  </w:style>
  <w:style w:type="paragraph" w:styleId="Envelopeaddress">
    <w:name w:val="envelope address"/>
    <w:basedOn w:val="Normal"/>
    <w:uiPriority w:val="49"/>
    <w:semiHidden/>
    <w:qFormat/>
    <w:rsid w:val="00d2437a"/>
    <w:pPr>
      <w:ind w:left="2880" w:hanging="0"/>
    </w:pPr>
    <w:rPr>
      <w:sz w:val="24"/>
      <w:szCs w:val="24"/>
    </w:rPr>
  </w:style>
  <w:style w:type="paragraph" w:styleId="Envelopereturn">
    <w:name w:val="envelope return"/>
    <w:basedOn w:val="Normal"/>
    <w:uiPriority w:val="49"/>
    <w:semiHidden/>
    <w:qFormat/>
    <w:rsid w:val="00d2437a"/>
    <w:pPr/>
    <w:rPr/>
  </w:style>
  <w:style w:type="paragraph" w:styleId="HTMLAddress">
    <w:name w:val="HTML Address"/>
    <w:basedOn w:val="Normal"/>
    <w:link w:val="HTMLAddressChar"/>
    <w:uiPriority w:val="49"/>
    <w:semiHidden/>
    <w:qFormat/>
    <w:rsid w:val="00d2437a"/>
    <w:pPr/>
    <w:rPr>
      <w:i/>
      <w:iCs/>
    </w:rPr>
  </w:style>
  <w:style w:type="paragraph" w:styleId="HTMLPreformatted">
    <w:name w:val="HTML Preformatted"/>
    <w:basedOn w:val="Normal"/>
    <w:link w:val="HTMLPreformattedChar"/>
    <w:uiPriority w:val="49"/>
    <w:semiHidden/>
    <w:qFormat/>
    <w:rsid w:val="00d2437a"/>
    <w:pPr/>
    <w:rPr/>
  </w:style>
  <w:style w:type="paragraph" w:styleId="Index1">
    <w:name w:val="index 1"/>
    <w:basedOn w:val="Normal"/>
    <w:next w:val="Normal"/>
    <w:autoRedefine/>
    <w:uiPriority w:val="49"/>
    <w:semiHidden/>
    <w:qFormat/>
    <w:rsid w:val="00d2437a"/>
    <w:pPr>
      <w:ind w:left="200" w:hanging="200"/>
    </w:pPr>
    <w:rPr/>
  </w:style>
  <w:style w:type="paragraph" w:styleId="Index2">
    <w:name w:val="index 2"/>
    <w:basedOn w:val="Normal"/>
    <w:next w:val="Normal"/>
    <w:autoRedefine/>
    <w:uiPriority w:val="49"/>
    <w:semiHidden/>
    <w:qFormat/>
    <w:rsid w:val="00d2437a"/>
    <w:pPr>
      <w:ind w:left="400" w:hanging="200"/>
    </w:pPr>
    <w:rPr/>
  </w:style>
  <w:style w:type="paragraph" w:styleId="Index3">
    <w:name w:val="index 3"/>
    <w:basedOn w:val="Normal"/>
    <w:next w:val="Normal"/>
    <w:autoRedefine/>
    <w:uiPriority w:val="49"/>
    <w:semiHidden/>
    <w:qFormat/>
    <w:rsid w:val="00d2437a"/>
    <w:pPr>
      <w:ind w:left="600" w:hanging="200"/>
    </w:pPr>
    <w:rPr/>
  </w:style>
  <w:style w:type="paragraph" w:styleId="Index4">
    <w:name w:val="index 4"/>
    <w:basedOn w:val="Normal"/>
    <w:next w:val="Normal"/>
    <w:autoRedefine/>
    <w:uiPriority w:val="49"/>
    <w:semiHidden/>
    <w:qFormat/>
    <w:rsid w:val="00d2437a"/>
    <w:pPr>
      <w:ind w:left="800" w:hanging="200"/>
    </w:pPr>
    <w:rPr/>
  </w:style>
  <w:style w:type="paragraph" w:styleId="Index5">
    <w:name w:val="index 5"/>
    <w:basedOn w:val="Normal"/>
    <w:next w:val="Normal"/>
    <w:autoRedefine/>
    <w:uiPriority w:val="49"/>
    <w:semiHidden/>
    <w:qFormat/>
    <w:rsid w:val="00d2437a"/>
    <w:pPr>
      <w:ind w:left="1000" w:hanging="200"/>
    </w:pPr>
    <w:rPr/>
  </w:style>
  <w:style w:type="paragraph" w:styleId="Index6">
    <w:name w:val="index 6"/>
    <w:basedOn w:val="Normal"/>
    <w:next w:val="Normal"/>
    <w:autoRedefine/>
    <w:uiPriority w:val="49"/>
    <w:semiHidden/>
    <w:qFormat/>
    <w:rsid w:val="00d2437a"/>
    <w:pPr>
      <w:ind w:left="1200" w:hanging="200"/>
    </w:pPr>
    <w:rPr/>
  </w:style>
  <w:style w:type="paragraph" w:styleId="Index7">
    <w:name w:val="index 7"/>
    <w:basedOn w:val="Normal"/>
    <w:next w:val="Normal"/>
    <w:autoRedefine/>
    <w:uiPriority w:val="49"/>
    <w:semiHidden/>
    <w:qFormat/>
    <w:rsid w:val="00d2437a"/>
    <w:pPr>
      <w:ind w:left="1400" w:hanging="200"/>
    </w:pPr>
    <w:rPr/>
  </w:style>
  <w:style w:type="paragraph" w:styleId="Index8">
    <w:name w:val="index 8"/>
    <w:basedOn w:val="Normal"/>
    <w:next w:val="Normal"/>
    <w:autoRedefine/>
    <w:uiPriority w:val="49"/>
    <w:semiHidden/>
    <w:qFormat/>
    <w:rsid w:val="00d2437a"/>
    <w:pPr>
      <w:ind w:left="1600" w:hanging="200"/>
    </w:pPr>
    <w:rPr/>
  </w:style>
  <w:style w:type="paragraph" w:styleId="Index9">
    <w:name w:val="index 9"/>
    <w:basedOn w:val="Normal"/>
    <w:next w:val="Normal"/>
    <w:autoRedefine/>
    <w:uiPriority w:val="49"/>
    <w:semiHidden/>
    <w:qFormat/>
    <w:rsid w:val="00d2437a"/>
    <w:pPr>
      <w:ind w:left="1800" w:hanging="200"/>
    </w:pPr>
    <w:rPr/>
  </w:style>
  <w:style w:type="paragraph" w:styleId="Indexheading">
    <w:name w:val="index heading"/>
    <w:basedOn w:val="Normal"/>
    <w:next w:val="Index1"/>
    <w:uiPriority w:val="49"/>
    <w:semiHidden/>
    <w:qFormat/>
    <w:rsid w:val="00d2437a"/>
    <w:pPr/>
    <w:rPr>
      <w:b/>
      <w:bCs/>
    </w:rPr>
  </w:style>
  <w:style w:type="paragraph" w:styleId="List2">
    <w:name w:val="List Bullet 3"/>
    <w:basedOn w:val="Normal"/>
    <w:uiPriority w:val="49"/>
    <w:semiHidden/>
    <w:rsid w:val="00d2437a"/>
    <w:pPr>
      <w:ind w:left="566" w:hanging="283"/>
    </w:pPr>
    <w:rPr/>
  </w:style>
  <w:style w:type="paragraph" w:styleId="List3">
    <w:name w:val="List Bullet 4"/>
    <w:basedOn w:val="Normal"/>
    <w:uiPriority w:val="49"/>
    <w:semiHidden/>
    <w:rsid w:val="00d2437a"/>
    <w:pPr>
      <w:ind w:left="849" w:hanging="283"/>
    </w:pPr>
    <w:rPr/>
  </w:style>
  <w:style w:type="paragraph" w:styleId="List4">
    <w:name w:val="List Bullet 5"/>
    <w:basedOn w:val="Normal"/>
    <w:uiPriority w:val="49"/>
    <w:semiHidden/>
    <w:rsid w:val="00d2437a"/>
    <w:pPr>
      <w:ind w:left="1132" w:hanging="283"/>
    </w:pPr>
    <w:rPr/>
  </w:style>
  <w:style w:type="paragraph" w:styleId="List5">
    <w:name w:val="List Number"/>
    <w:basedOn w:val="Normal"/>
    <w:uiPriority w:val="49"/>
    <w:semiHidden/>
    <w:rsid w:val="00d2437a"/>
    <w:pPr>
      <w:ind w:left="1415" w:hanging="283"/>
    </w:pPr>
    <w:rPr/>
  </w:style>
  <w:style w:type="paragraph" w:styleId="ListBullet4">
    <w:name w:val="List Bullet 4"/>
    <w:basedOn w:val="Normal"/>
    <w:uiPriority w:val="49"/>
    <w:semiHidden/>
    <w:qFormat/>
    <w:rsid w:val="00d2437a"/>
    <w:pPr>
      <w:tabs>
        <w:tab w:val="clear" w:pos="720"/>
        <w:tab w:val="left" w:pos="1209" w:leader="none"/>
      </w:tabs>
      <w:ind w:left="1209" w:hanging="360"/>
    </w:pPr>
    <w:rPr/>
  </w:style>
  <w:style w:type="paragraph" w:styleId="ListBullet5">
    <w:name w:val="List Bullet 5"/>
    <w:basedOn w:val="Normal"/>
    <w:uiPriority w:val="49"/>
    <w:semiHidden/>
    <w:qFormat/>
    <w:rsid w:val="00d2437a"/>
    <w:pPr>
      <w:tabs>
        <w:tab w:val="clear" w:pos="720"/>
        <w:tab w:val="left" w:pos="1492" w:leader="none"/>
      </w:tabs>
      <w:ind w:left="1492" w:hanging="360"/>
    </w:pPr>
    <w:rPr/>
  </w:style>
  <w:style w:type="paragraph" w:styleId="ListContinue4">
    <w:name w:val="List Continue 4"/>
    <w:basedOn w:val="Normal"/>
    <w:uiPriority w:val="49"/>
    <w:semiHidden/>
    <w:qFormat/>
    <w:rsid w:val="00d2437a"/>
    <w:pPr>
      <w:spacing w:before="100" w:after="120"/>
      <w:ind w:left="1132" w:hanging="0"/>
    </w:pPr>
    <w:rPr/>
  </w:style>
  <w:style w:type="paragraph" w:styleId="ListContinue5">
    <w:name w:val="List Continue 5"/>
    <w:basedOn w:val="Normal"/>
    <w:uiPriority w:val="49"/>
    <w:semiHidden/>
    <w:qFormat/>
    <w:rsid w:val="00d2437a"/>
    <w:pPr>
      <w:spacing w:before="100" w:after="120"/>
      <w:ind w:left="1415" w:hanging="0"/>
    </w:pPr>
    <w:rPr/>
  </w:style>
  <w:style w:type="paragraph" w:styleId="ListNumber4">
    <w:name w:val="List Number 4"/>
    <w:basedOn w:val="Normal"/>
    <w:uiPriority w:val="49"/>
    <w:semiHidden/>
    <w:qFormat/>
    <w:rsid w:val="00d2437a"/>
    <w:pPr>
      <w:tabs>
        <w:tab w:val="clear" w:pos="720"/>
        <w:tab w:val="left" w:pos="1209" w:leader="none"/>
      </w:tabs>
      <w:ind w:left="1209" w:hanging="360"/>
    </w:pPr>
    <w:rPr/>
  </w:style>
  <w:style w:type="paragraph" w:styleId="ListNumber5">
    <w:name w:val="List Number 5"/>
    <w:basedOn w:val="Normal"/>
    <w:uiPriority w:val="49"/>
    <w:semiHidden/>
    <w:qFormat/>
    <w:rsid w:val="00d2437a"/>
    <w:pPr>
      <w:tabs>
        <w:tab w:val="clear" w:pos="720"/>
        <w:tab w:val="left" w:pos="1492" w:leader="none"/>
      </w:tabs>
      <w:ind w:left="1492" w:hanging="360"/>
    </w:pPr>
    <w:rPr/>
  </w:style>
  <w:style w:type="paragraph" w:styleId="MessageHeader">
    <w:name w:val="Message Header"/>
    <w:basedOn w:val="Normal"/>
    <w:link w:val="MessageHeaderChar"/>
    <w:uiPriority w:val="49"/>
    <w:semiHidden/>
    <w:qFormat/>
    <w:rsid w:val="00d2437a"/>
    <w:pPr>
      <w:pBdr>
        <w:top w:val="single" w:sz="6" w:space="1" w:color="000000"/>
        <w:left w:val="single" w:sz="6" w:space="1" w:color="000000"/>
        <w:bottom w:val="single" w:sz="6" w:space="1" w:color="000000"/>
        <w:right w:val="single" w:sz="6" w:space="1" w:color="000000"/>
      </w:pBdr>
      <w:shd w:val="pct20" w:color="auto" w:fill="auto"/>
      <w:ind w:left="1134" w:hanging="1134"/>
    </w:pPr>
    <w:rPr>
      <w:sz w:val="24"/>
      <w:szCs w:val="24"/>
    </w:rPr>
  </w:style>
  <w:style w:type="paragraph" w:styleId="NormalWeb">
    <w:name w:val="Normal (Web)"/>
    <w:basedOn w:val="Normal"/>
    <w:uiPriority w:val="49"/>
    <w:semiHidden/>
    <w:qFormat/>
    <w:rsid w:val="00d2437a"/>
    <w:pPr/>
    <w:rPr>
      <w:sz w:val="24"/>
      <w:szCs w:val="24"/>
    </w:rPr>
  </w:style>
  <w:style w:type="paragraph" w:styleId="PlainText">
    <w:name w:val="Plain Text"/>
    <w:basedOn w:val="Normal"/>
    <w:link w:val="PlainTextChar"/>
    <w:uiPriority w:val="49"/>
    <w:semiHidden/>
    <w:qFormat/>
    <w:rsid w:val="00d2437a"/>
    <w:pPr/>
    <w:rPr/>
  </w:style>
  <w:style w:type="paragraph" w:styleId="ComplimentaryClose">
    <w:name w:val="Salutation"/>
    <w:basedOn w:val="Normal"/>
    <w:next w:val="Normal"/>
    <w:link w:val="SalutationChar"/>
    <w:uiPriority w:val="49"/>
    <w:semiHidden/>
    <w:rsid w:val="00d2437a"/>
    <w:pPr/>
    <w:rPr/>
  </w:style>
  <w:style w:type="paragraph" w:styleId="Signature">
    <w:name w:val="Signature"/>
    <w:basedOn w:val="Normal"/>
    <w:link w:val="SignatureChar"/>
    <w:uiPriority w:val="49"/>
    <w:semiHidden/>
    <w:rsid w:val="00d2437a"/>
    <w:pPr>
      <w:ind w:left="4252" w:hanging="0"/>
    </w:pPr>
    <w:rPr/>
  </w:style>
  <w:style w:type="paragraph" w:styleId="Toaheading">
    <w:name w:val="toa heading"/>
    <w:basedOn w:val="Normal"/>
    <w:next w:val="Normal"/>
    <w:uiPriority w:val="39"/>
    <w:semiHidden/>
    <w:qFormat/>
    <w:rsid w:val="00d2437a"/>
    <w:pPr>
      <w:spacing w:before="120" w:after="100"/>
    </w:pPr>
    <w:rPr>
      <w:b/>
      <w:bCs/>
      <w:sz w:val="24"/>
      <w:szCs w:val="24"/>
    </w:rPr>
  </w:style>
  <w:style w:type="paragraph" w:styleId="TOCHeading">
    <w:name w:val="TOC Heading"/>
    <w:uiPriority w:val="29"/>
    <w:unhideWhenUsed/>
    <w:qFormat/>
    <w:rsid w:val="00b3098a"/>
    <w:pPr>
      <w:keepNext w:val="true"/>
      <w:pageBreakBefore/>
      <w:widowControl/>
      <w:bidi w:val="0"/>
      <w:spacing w:before="0" w:after="1200"/>
      <w:jc w:val="left"/>
    </w:pPr>
    <w:rPr>
      <w:rFonts w:ascii="Arial" w:hAnsi="Arial" w:cs="Calibri" w:asciiTheme="majorHAnsi" w:hAnsiTheme="majorHAnsi" w:eastAsia="Times New Roman"/>
      <w:color w:val="4C4C4C"/>
      <w:kern w:val="0"/>
      <w:sz w:val="40"/>
      <w:szCs w:val="22"/>
      <w:lang w:val="en-AU" w:eastAsia="en-AU" w:bidi="ar-SA"/>
    </w:rPr>
  </w:style>
  <w:style w:type="paragraph" w:styleId="TableBullet" w:customStyle="1">
    <w:name w:val="Table Bullet"/>
    <w:basedOn w:val="TableText"/>
    <w:uiPriority w:val="10"/>
    <w:qFormat/>
    <w:pPr>
      <w:spacing w:before="0" w:after="0"/>
    </w:pPr>
    <w:rPr/>
  </w:style>
  <w:style w:type="paragraph" w:styleId="QuoteName" w:customStyle="1">
    <w:name w:val="Quote Name"/>
    <w:basedOn w:val="Normal"/>
    <w:uiPriority w:val="49"/>
    <w:semiHidden/>
    <w:qFormat/>
    <w:rsid w:val="00d2437a"/>
    <w:pPr>
      <w:spacing w:before="100" w:after="0"/>
      <w:ind w:left="902" w:right="822" w:hanging="0"/>
      <w:jc w:val="right"/>
    </w:pPr>
    <w:rPr>
      <w:caps/>
      <w:color w:val="800000"/>
      <w:sz w:val="16"/>
    </w:rPr>
  </w:style>
  <w:style w:type="paragraph" w:styleId="Header">
    <w:name w:val="Header"/>
    <w:basedOn w:val="Normal"/>
    <w:link w:val="HeaderChar"/>
    <w:uiPriority w:val="24"/>
    <w:semiHidden/>
    <w:rsid w:val="00d2437a"/>
    <w:pPr>
      <w:tabs>
        <w:tab w:val="clear" w:pos="720"/>
        <w:tab w:val="center" w:pos="4513" w:leader="none"/>
        <w:tab w:val="right" w:pos="9026" w:leader="none"/>
      </w:tabs>
      <w:spacing w:before="0" w:after="0"/>
    </w:pPr>
    <w:rPr/>
  </w:style>
  <w:style w:type="paragraph" w:styleId="Caption1">
    <w:name w:val="caption"/>
    <w:basedOn w:val="Normal"/>
    <w:next w:val="Pictwide"/>
    <w:uiPriority w:val="13"/>
    <w:semiHidden/>
    <w:qFormat/>
    <w:pPr>
      <w:keepNext w:val="true"/>
      <w:keepLines/>
      <w:tabs>
        <w:tab w:val="clear" w:pos="720"/>
        <w:tab w:val="left" w:pos="851" w:leader="none"/>
      </w:tabs>
      <w:spacing w:lineRule="auto" w:line="240" w:before="240" w:after="120"/>
    </w:pPr>
    <w:rPr>
      <w:b/>
    </w:rPr>
  </w:style>
  <w:style w:type="paragraph" w:styleId="TableDash" w:customStyle="1">
    <w:name w:val="Table Dash"/>
    <w:basedOn w:val="Normal"/>
    <w:uiPriority w:val="10"/>
    <w:qFormat/>
    <w:pPr>
      <w:spacing w:before="0" w:after="0"/>
    </w:pPr>
    <w:rPr>
      <w:sz w:val="20"/>
    </w:rPr>
  </w:style>
  <w:style w:type="paragraph" w:styleId="ListBullet">
    <w:name w:val="List Bullet"/>
    <w:basedOn w:val="Normal"/>
    <w:uiPriority w:val="99"/>
    <w:semiHidden/>
    <w:unhideWhenUsed/>
    <w:qFormat/>
    <w:rsid w:val="00d2437a"/>
    <w:pPr>
      <w:spacing w:before="100" w:after="100"/>
      <w:contextualSpacing/>
    </w:pPr>
    <w:rPr/>
  </w:style>
  <w:style w:type="paragraph" w:styleId="ListBullet2">
    <w:name w:val="List Bullet 2"/>
    <w:basedOn w:val="Normal"/>
    <w:uiPriority w:val="99"/>
    <w:semiHidden/>
    <w:qFormat/>
    <w:rsid w:val="00d2437a"/>
    <w:pPr>
      <w:spacing w:before="100" w:after="100"/>
      <w:contextualSpacing/>
    </w:pPr>
    <w:rPr/>
  </w:style>
  <w:style w:type="paragraph" w:styleId="ListContinue">
    <w:name w:val="List Continue"/>
    <w:basedOn w:val="Normal"/>
    <w:uiPriority w:val="8"/>
    <w:semiHidden/>
    <w:qFormat/>
    <w:rsid w:val="00d2437a"/>
    <w:pPr>
      <w:spacing w:before="0" w:after="0"/>
      <w:ind w:left="1077" w:hanging="0"/>
    </w:pPr>
    <w:rPr/>
  </w:style>
  <w:style w:type="paragraph" w:styleId="ListContinue2">
    <w:name w:val="List Continue 2"/>
    <w:basedOn w:val="Normal"/>
    <w:uiPriority w:val="8"/>
    <w:semiHidden/>
    <w:qFormat/>
    <w:rsid w:val="00d2437a"/>
    <w:pPr>
      <w:spacing w:before="0" w:after="0"/>
      <w:ind w:left="1361" w:hanging="0"/>
    </w:pPr>
    <w:rPr/>
  </w:style>
  <w:style w:type="paragraph" w:styleId="Spacer" w:customStyle="1">
    <w:name w:val="Spacer"/>
    <w:basedOn w:val="Normal"/>
    <w:uiPriority w:val="39"/>
    <w:qFormat/>
    <w:rsid w:val="00d2437a"/>
    <w:pPr>
      <w:tabs>
        <w:tab w:val="clear" w:pos="720"/>
        <w:tab w:val="right" w:pos="9639" w:leader="none"/>
      </w:tabs>
      <w:spacing w:before="0" w:after="0"/>
    </w:pPr>
    <w:rPr>
      <w:sz w:val="8"/>
    </w:rPr>
  </w:style>
  <w:style w:type="paragraph" w:styleId="Pictwide" w:customStyle="1">
    <w:name w:val="Pict wide"/>
    <w:basedOn w:val="Normal"/>
    <w:next w:val="Normal"/>
    <w:uiPriority w:val="13"/>
    <w:semiHidden/>
    <w:qFormat/>
    <w:rsid w:val="00d2437a"/>
    <w:pPr>
      <w:widowControl w:val="false"/>
      <w:spacing w:before="160" w:after="320"/>
    </w:pPr>
    <w:rPr>
      <w:sz w:val="24"/>
    </w:rPr>
  </w:style>
  <w:style w:type="paragraph" w:styleId="Contents4">
    <w:name w:val="TOC 4"/>
    <w:basedOn w:val="Contents3"/>
    <w:next w:val="Normal"/>
    <w:autoRedefine/>
    <w:uiPriority w:val="39"/>
    <w:rsid w:val="00d2437a"/>
    <w:pPr>
      <w:spacing w:before="100" w:after="20"/>
      <w:contextualSpacing/>
    </w:pPr>
    <w:rPr>
      <w:sz w:val="22"/>
    </w:rPr>
  </w:style>
  <w:style w:type="paragraph" w:styleId="ListContinue3">
    <w:name w:val="List Continue 3"/>
    <w:basedOn w:val="Normal"/>
    <w:uiPriority w:val="8"/>
    <w:semiHidden/>
    <w:qFormat/>
    <w:rsid w:val="00d2437a"/>
    <w:pPr>
      <w:spacing w:before="0" w:after="0"/>
      <w:ind w:left="1644" w:hanging="0"/>
    </w:pPr>
    <w:rPr/>
  </w:style>
  <w:style w:type="paragraph" w:styleId="ListBullet3">
    <w:name w:val="List Bullet 3"/>
    <w:basedOn w:val="Normal"/>
    <w:uiPriority w:val="99"/>
    <w:semiHidden/>
    <w:qFormat/>
    <w:rsid w:val="00d2437a"/>
    <w:pPr>
      <w:spacing w:before="100" w:after="100"/>
      <w:contextualSpacing/>
      <w:jc w:val="right"/>
    </w:pPr>
    <w:rPr/>
  </w:style>
  <w:style w:type="paragraph" w:styleId="TableText" w:customStyle="1">
    <w:name w:val="Table Text"/>
    <w:basedOn w:val="Normal"/>
    <w:uiPriority w:val="15"/>
    <w:qFormat/>
    <w:pPr>
      <w:spacing w:lineRule="auto" w:line="240" w:before="60" w:after="60"/>
    </w:pPr>
    <w:rPr>
      <w:sz w:val="20"/>
    </w:rPr>
  </w:style>
  <w:style w:type="paragraph" w:styleId="ListNumber">
    <w:name w:val="List Number"/>
    <w:basedOn w:val="Normal"/>
    <w:uiPriority w:val="7"/>
    <w:semiHidden/>
    <w:qFormat/>
    <w:rsid w:val="00d2437a"/>
    <w:pPr>
      <w:spacing w:before="100" w:after="100"/>
      <w:contextualSpacing/>
      <w:jc w:val="right"/>
    </w:pPr>
    <w:rPr/>
  </w:style>
  <w:style w:type="paragraph" w:styleId="TableHeader" w:customStyle="1">
    <w:name w:val="Table Header"/>
    <w:basedOn w:val="TableText"/>
    <w:uiPriority w:val="15"/>
    <w:qFormat/>
    <w:pPr>
      <w:keepNext w:val="true"/>
      <w:spacing w:before="40" w:after="40"/>
    </w:pPr>
    <w:rPr>
      <w:color w:val="FFFFFF" w:themeColor="background1"/>
      <w:sz w:val="24"/>
    </w:rPr>
  </w:style>
  <w:style w:type="paragraph" w:styleId="CaptionTable" w:customStyle="1">
    <w:name w:val="Caption Table"/>
    <w:basedOn w:val="Normal"/>
    <w:uiPriority w:val="14"/>
    <w:semiHidden/>
    <w:qFormat/>
    <w:pPr/>
    <w:rPr>
      <w:b/>
    </w:rPr>
  </w:style>
  <w:style w:type="paragraph" w:styleId="ListNumber2">
    <w:name w:val="List Number 2"/>
    <w:basedOn w:val="Normal"/>
    <w:uiPriority w:val="7"/>
    <w:semiHidden/>
    <w:qFormat/>
    <w:rsid w:val="00d2437a"/>
    <w:pPr>
      <w:spacing w:before="100" w:after="100"/>
      <w:contextualSpacing/>
      <w:jc w:val="right"/>
    </w:pPr>
    <w:rPr/>
  </w:style>
  <w:style w:type="paragraph" w:styleId="Bullet2" w:customStyle="1">
    <w:name w:val="Bullet 2"/>
    <w:basedOn w:val="Bullet1"/>
    <w:uiPriority w:val="49"/>
    <w:semiHidden/>
    <w:qFormat/>
    <w:rsid w:val="00d2437a"/>
    <w:pPr/>
    <w:rPr/>
  </w:style>
  <w:style w:type="paragraph" w:styleId="Bullet3" w:customStyle="1">
    <w:name w:val="Bullet 3"/>
    <w:basedOn w:val="Bullet2"/>
    <w:uiPriority w:val="49"/>
    <w:semiHidden/>
    <w:qFormat/>
    <w:rsid w:val="00d2437a"/>
    <w:pPr/>
    <w:rPr/>
  </w:style>
  <w:style w:type="paragraph" w:styleId="Tableoffigures">
    <w:name w:val="table of figures"/>
    <w:basedOn w:val="Normal"/>
    <w:next w:val="Normal"/>
    <w:uiPriority w:val="99"/>
    <w:semiHidden/>
    <w:unhideWhenUsed/>
    <w:qFormat/>
    <w:rsid w:val="00d2437a"/>
    <w:pPr>
      <w:spacing w:before="100" w:after="0"/>
    </w:pPr>
    <w:rPr/>
  </w:style>
  <w:style w:type="paragraph" w:styleId="ListNumber3">
    <w:name w:val="List Number 3"/>
    <w:basedOn w:val="Normal"/>
    <w:uiPriority w:val="7"/>
    <w:semiHidden/>
    <w:qFormat/>
    <w:rsid w:val="00d2437a"/>
    <w:pPr>
      <w:spacing w:before="100" w:after="100"/>
      <w:contextualSpacing/>
      <w:jc w:val="right"/>
    </w:pPr>
    <w:rPr/>
  </w:style>
  <w:style w:type="paragraph" w:styleId="Bibliography">
    <w:name w:val="Bibliography"/>
    <w:basedOn w:val="Normal"/>
    <w:next w:val="Normal"/>
    <w:uiPriority w:val="37"/>
    <w:semiHidden/>
    <w:unhideWhenUsed/>
    <w:qFormat/>
    <w:rsid w:val="00d2437a"/>
    <w:pPr>
      <w:spacing w:before="100" w:after="120"/>
    </w:pPr>
    <w:rPr>
      <w:i/>
      <w:sz w:val="18"/>
    </w:rPr>
  </w:style>
  <w:style w:type="paragraph" w:styleId="FrontPagesLeft" w:customStyle="1">
    <w:name w:val="Front Pages Left"/>
    <w:basedOn w:val="Normal"/>
    <w:uiPriority w:val="31"/>
    <w:semiHidden/>
    <w:qFormat/>
    <w:pPr>
      <w:spacing w:lineRule="atLeast" w:line="200" w:before="0" w:after="0"/>
      <w:ind w:right="6237" w:hanging="0"/>
    </w:pPr>
    <w:rPr>
      <w:color w:val="000000"/>
      <w:sz w:val="18"/>
      <w:lang w:eastAsia="en-US"/>
    </w:rPr>
  </w:style>
  <w:style w:type="paragraph" w:styleId="ListParagraph">
    <w:name w:val="List Paragraph"/>
    <w:basedOn w:val="Normal"/>
    <w:uiPriority w:val="34"/>
    <w:semiHidden/>
    <w:qFormat/>
    <w:rsid w:val="00d2437a"/>
    <w:pPr>
      <w:spacing w:before="100" w:after="100"/>
      <w:ind w:left="720" w:hanging="0"/>
      <w:contextualSpacing/>
    </w:pPr>
    <w:rPr/>
  </w:style>
  <w:style w:type="paragraph" w:styleId="NormalIndent">
    <w:name w:val="Normal Indent"/>
    <w:basedOn w:val="Normal"/>
    <w:semiHidden/>
    <w:qFormat/>
    <w:pPr>
      <w:spacing w:lineRule="exact" w:line="240"/>
      <w:ind w:left="1077" w:right="284" w:hanging="0"/>
    </w:pPr>
    <w:rPr/>
  </w:style>
  <w:style w:type="paragraph" w:styleId="Attachment1" w:customStyle="1">
    <w:name w:val="Attachment 1"/>
    <w:next w:val="Normal"/>
    <w:uiPriority w:val="19"/>
    <w:semiHidden/>
    <w:qFormat/>
    <w:pPr>
      <w:pageBreakBefore/>
      <w:widowControl/>
      <w:pBdr>
        <w:bottom w:val="single" w:sz="4" w:space="1" w:color="404040"/>
      </w:pBdr>
      <w:bidi w:val="0"/>
      <w:spacing w:before="400" w:after="1200"/>
      <w:jc w:val="left"/>
    </w:pPr>
    <w:rPr>
      <w:rFonts w:ascii="Calibri" w:hAnsi="Calibri" w:cs="Calibri" w:eastAsia="Times New Roman"/>
      <w:color w:val="404040"/>
      <w:kern w:val="2"/>
      <w:sz w:val="40"/>
      <w:szCs w:val="22"/>
      <w:lang w:eastAsia="en-US" w:val="en-AU" w:bidi="ar-SA"/>
    </w:rPr>
  </w:style>
  <w:style w:type="paragraph" w:styleId="CoverTitle" w:customStyle="1">
    <w:name w:val="Cover Title"/>
    <w:basedOn w:val="Normal"/>
    <w:uiPriority w:val="30"/>
    <w:semiHidden/>
    <w:qFormat/>
    <w:pPr>
      <w:spacing w:lineRule="auto" w:line="228" w:before="0" w:after="100"/>
      <w:ind w:right="4536" w:hanging="0"/>
    </w:pPr>
    <w:rPr>
      <w:b/>
      <w:sz w:val="60"/>
      <w:szCs w:val="60"/>
      <w:lang w:eastAsia="en-US"/>
    </w:rPr>
  </w:style>
  <w:style w:type="paragraph" w:styleId="CoverSubtitle" w:customStyle="1">
    <w:name w:val="Cover Subtitle"/>
    <w:basedOn w:val="CoverTitle"/>
    <w:uiPriority w:val="31"/>
    <w:semiHidden/>
    <w:qFormat/>
    <w:pPr>
      <w:spacing w:lineRule="auto" w:line="240" w:before="0" w:after="100"/>
      <w:contextualSpacing/>
    </w:pPr>
    <w:rPr>
      <w:b w:val="false"/>
      <w:sz w:val="40"/>
      <w:szCs w:val="40"/>
    </w:rPr>
  </w:style>
  <w:style w:type="paragraph" w:styleId="Heading4NoNum" w:customStyle="1">
    <w:name w:val="Heading 4 NoNum"/>
    <w:basedOn w:val="Heading4"/>
    <w:uiPriority w:val="4"/>
    <w:semiHidden/>
    <w:qFormat/>
    <w:pPr>
      <w:tabs>
        <w:tab w:val="left" w:pos="720" w:leader="none"/>
      </w:tabs>
      <w:ind w:left="720" w:hanging="720"/>
    </w:pPr>
    <w:rPr/>
  </w:style>
  <w:style w:type="paragraph" w:styleId="Heading2num" w:customStyle="1">
    <w:name w:val="Heading 2 num"/>
    <w:next w:val="Normal"/>
    <w:qFormat/>
    <w:pPr>
      <w:widowControl/>
      <w:bidi w:val="0"/>
      <w:spacing w:before="0" w:after="0"/>
      <w:jc w:val="left"/>
    </w:pPr>
    <w:rPr>
      <w:rFonts w:ascii="Calibri" w:hAnsi="Calibri" w:cs="Calibri" w:eastAsia="Times New Roman"/>
      <w:b/>
      <w:color w:val="4D4D4D"/>
      <w:kern w:val="0"/>
      <w:sz w:val="28"/>
      <w:szCs w:val="22"/>
      <w:lang w:eastAsia="en-US" w:val="en-AU" w:bidi="ar-SA"/>
    </w:rPr>
  </w:style>
  <w:style w:type="paragraph" w:styleId="Heading3num" w:customStyle="1">
    <w:name w:val="Heading 3 num"/>
    <w:basedOn w:val="Heading3"/>
    <w:qFormat/>
    <w:pPr>
      <w:keepNext w:val="true"/>
      <w:tabs>
        <w:tab w:val="left" w:pos="720" w:leader="none"/>
        <w:tab w:val="left" w:pos="1247" w:leader="none"/>
      </w:tabs>
    </w:pPr>
    <w:rPr>
      <w:b w:val="false"/>
      <w:color w:val="4D4D4D"/>
    </w:rPr>
  </w:style>
  <w:style w:type="paragraph" w:styleId="OrganisationName" w:customStyle="1">
    <w:name w:val="Organisation Name"/>
    <w:basedOn w:val="Title"/>
    <w:qFormat/>
    <w:rsid w:val="00d2437a"/>
    <w:pPr/>
    <w:rPr>
      <w:sz w:val="32"/>
    </w:rPr>
  </w:style>
  <w:style w:type="paragraph" w:styleId="FactSheetBullet1" w:customStyle="1">
    <w:name w:val="Fact Sheet Bullet 1"/>
    <w:basedOn w:val="Normal"/>
    <w:semiHidden/>
    <w:qFormat/>
    <w:rsid w:val="00d2437a"/>
    <w:pPr>
      <w:spacing w:lineRule="atLeast" w:line="220" w:before="100" w:after="60"/>
      <w:contextualSpacing/>
    </w:pPr>
    <w:rPr>
      <w:sz w:val="18"/>
    </w:rPr>
  </w:style>
  <w:style w:type="paragraph" w:styleId="FactSheetBullet2" w:customStyle="1">
    <w:name w:val="Fact Sheet Bullet 2"/>
    <w:basedOn w:val="Normal"/>
    <w:semiHidden/>
    <w:qFormat/>
    <w:rsid w:val="00d2437a"/>
    <w:pPr>
      <w:spacing w:lineRule="atLeast" w:line="220" w:before="80" w:after="60"/>
      <w:contextualSpacing/>
    </w:pPr>
    <w:rPr>
      <w:sz w:val="18"/>
    </w:rPr>
  </w:style>
  <w:style w:type="paragraph" w:styleId="FactSheetBullet3" w:customStyle="1">
    <w:name w:val="Fact Sheet Bullet 3"/>
    <w:basedOn w:val="FactSheetBullet2"/>
    <w:semiHidden/>
    <w:qFormat/>
    <w:rsid w:val="00d2437a"/>
    <w:pPr/>
    <w:rPr/>
  </w:style>
  <w:style w:type="paragraph" w:styleId="ClauseIndent1" w:customStyle="1">
    <w:name w:val="Clause Indent (#) 1"/>
    <w:uiPriority w:val="20"/>
    <w:qFormat/>
    <w:rsid w:val="00786d8d"/>
    <w:pPr>
      <w:widowControl/>
      <w:bidi w:val="0"/>
      <w:spacing w:lineRule="auto" w:line="264" w:before="100" w:after="100"/>
      <w:jc w:val="left"/>
    </w:pPr>
    <w:rPr>
      <w:rFonts w:ascii="Arial" w:hAnsi="Arial" w:asciiTheme="minorHAnsi" w:hAnsiTheme="minorHAnsi" w:eastAsia="Times New Roman" w:cs="Times New Roman"/>
      <w:color w:val="auto"/>
      <w:kern w:val="0"/>
      <w:sz w:val="18"/>
      <w:szCs w:val="22"/>
      <w:lang w:val="en-AU" w:eastAsia="en-AU" w:bidi="ar-SA"/>
    </w:rPr>
  </w:style>
  <w:style w:type="paragraph" w:styleId="ClauseIndent2" w:customStyle="1">
    <w:name w:val="Clause Indent (#) 2"/>
    <w:basedOn w:val="Normal"/>
    <w:uiPriority w:val="20"/>
    <w:qFormat/>
    <w:rsid w:val="006b5aad"/>
    <w:pPr>
      <w:spacing w:before="60" w:after="60"/>
    </w:pPr>
    <w:rPr>
      <w:sz w:val="18"/>
    </w:rPr>
  </w:style>
  <w:style w:type="paragraph" w:styleId="ClauseIndent3" w:customStyle="1">
    <w:name w:val="Clause Indent (#) 3"/>
    <w:basedOn w:val="Normal"/>
    <w:uiPriority w:val="20"/>
    <w:qFormat/>
    <w:rsid w:val="00786d8d"/>
    <w:pPr/>
    <w:rPr>
      <w:sz w:val="18"/>
    </w:rPr>
  </w:style>
  <w:style w:type="paragraph" w:styleId="ClauseIndent21" w:customStyle="1">
    <w:name w:val="Clause Indent 2"/>
    <w:basedOn w:val="ClauseIndent11"/>
    <w:uiPriority w:val="20"/>
    <w:qFormat/>
    <w:rsid w:val="0090771f"/>
    <w:pPr>
      <w:ind w:left="1008" w:hanging="0"/>
    </w:pPr>
    <w:rPr/>
  </w:style>
  <w:style w:type="paragraph" w:styleId="ClauseHeading2" w:customStyle="1">
    <w:name w:val="Clause Heading 2"/>
    <w:basedOn w:val="Heading2"/>
    <w:next w:val="ClauseIndent1"/>
    <w:uiPriority w:val="19"/>
    <w:qFormat/>
    <w:rsid w:val="00d2437a"/>
    <w:pPr>
      <w:spacing w:before="100" w:after="100"/>
    </w:pPr>
    <w:rPr>
      <w:sz w:val="25"/>
    </w:rPr>
  </w:style>
  <w:style w:type="paragraph" w:styleId="ClauseHeading1" w:customStyle="1">
    <w:name w:val="Clause Heading 1"/>
    <w:basedOn w:val="Heading1"/>
    <w:next w:val="ClauseHeading2"/>
    <w:uiPriority w:val="19"/>
    <w:qFormat/>
    <w:rsid w:val="00786d8d"/>
    <w:pPr>
      <w:keepNext w:val="true"/>
      <w:spacing w:before="180" w:after="60"/>
    </w:pPr>
    <w:rPr>
      <w:rFonts w:ascii="Arial" w:hAnsi="Arial" w:asciiTheme="minorHAnsi" w:hAnsiTheme="minorHAnsi"/>
      <w:sz w:val="22"/>
      <w:szCs w:val="24"/>
    </w:rPr>
  </w:style>
  <w:style w:type="paragraph" w:styleId="ClauseIndent11" w:customStyle="1">
    <w:name w:val="Clause Indent 1"/>
    <w:basedOn w:val="Normal"/>
    <w:uiPriority w:val="20"/>
    <w:qFormat/>
    <w:rsid w:val="009c29bd"/>
    <w:pPr>
      <w:spacing w:lineRule="auto" w:line="240"/>
      <w:ind w:left="504" w:hanging="0"/>
    </w:pPr>
    <w:rPr>
      <w:sz w:val="18"/>
      <w:szCs w:val="18"/>
    </w:rPr>
  </w:style>
  <w:style w:type="paragraph" w:styleId="ClauseIndent31" w:customStyle="1">
    <w:name w:val="Clause Indent 3"/>
    <w:basedOn w:val="ClauseIndent21"/>
    <w:uiPriority w:val="20"/>
    <w:qFormat/>
    <w:rsid w:val="00d2437a"/>
    <w:pPr>
      <w:ind w:left="1814" w:hanging="0"/>
    </w:pPr>
    <w:rPr/>
  </w:style>
  <w:style w:type="paragraph" w:styleId="ClauseIndent4" w:customStyle="1">
    <w:name w:val="Clause Indent 4"/>
    <w:basedOn w:val="ClauseIndent31"/>
    <w:uiPriority w:val="20"/>
    <w:qFormat/>
    <w:rsid w:val="00d2437a"/>
    <w:pPr>
      <w:ind w:left="2325" w:hanging="0"/>
    </w:pPr>
    <w:rPr/>
  </w:style>
  <w:style w:type="paragraph" w:styleId="Heading11" w:customStyle="1">
    <w:name w:val="Heading 1 (#)"/>
    <w:basedOn w:val="Heading1"/>
    <w:uiPriority w:val="39"/>
    <w:qFormat/>
    <w:rsid w:val="00d2437a"/>
    <w:pPr/>
    <w:rPr/>
  </w:style>
  <w:style w:type="paragraph" w:styleId="Heading21" w:customStyle="1">
    <w:name w:val="Heading 2 (#)"/>
    <w:basedOn w:val="Heading2"/>
    <w:uiPriority w:val="39"/>
    <w:qFormat/>
    <w:rsid w:val="00d2437a"/>
    <w:pPr/>
    <w:rPr>
      <w:rFonts w:ascii="Arial" w:hAnsi="Arial" w:asciiTheme="majorHAnsi" w:hAnsiTheme="majorHAnsi"/>
    </w:rPr>
  </w:style>
  <w:style w:type="paragraph" w:styleId="Heading31" w:customStyle="1">
    <w:name w:val="Heading 3 (#)"/>
    <w:basedOn w:val="Heading3"/>
    <w:uiPriority w:val="39"/>
    <w:qFormat/>
    <w:rsid w:val="00d2437a"/>
    <w:pPr/>
    <w:rPr>
      <w:rFonts w:ascii="Arial" w:hAnsi="Arial" w:asciiTheme="majorHAnsi" w:hAnsiTheme="majorHAnsi"/>
    </w:rPr>
  </w:style>
  <w:style w:type="paragraph" w:styleId="ScheduleHeading" w:customStyle="1">
    <w:name w:val="Schedule Heading"/>
    <w:basedOn w:val="Normal"/>
    <w:uiPriority w:val="24"/>
    <w:qFormat/>
    <w:rsid w:val="00d2437a"/>
    <w:pPr>
      <w:keepNext w:val="true"/>
      <w:pageBreakBefore/>
      <w:spacing w:before="0" w:after="240"/>
    </w:pPr>
    <w:rPr>
      <w:rFonts w:ascii="Arial" w:hAnsi="Arial" w:asciiTheme="majorHAnsi" w:hAnsiTheme="majorHAnsi"/>
      <w:b/>
      <w:sz w:val="40"/>
    </w:rPr>
  </w:style>
  <w:style w:type="paragraph" w:styleId="ScheduleItem" w:customStyle="1">
    <w:name w:val="Schedule Item"/>
    <w:basedOn w:val="Normal"/>
    <w:uiPriority w:val="24"/>
    <w:qFormat/>
    <w:rsid w:val="00d2437a"/>
    <w:pPr>
      <w:keepNext w:val="true"/>
      <w:spacing w:before="240" w:after="100"/>
    </w:pPr>
    <w:rPr>
      <w:rFonts w:ascii="Arial" w:hAnsi="Arial" w:asciiTheme="majorHAnsi" w:hAnsiTheme="majorHAnsi"/>
      <w:b/>
      <w:spacing w:val="-1"/>
      <w:sz w:val="30"/>
    </w:rPr>
  </w:style>
  <w:style w:type="paragraph" w:styleId="AnnexureHeading" w:customStyle="1">
    <w:name w:val="Annexure Heading"/>
    <w:basedOn w:val="Normal"/>
    <w:uiPriority w:val="25"/>
    <w:semiHidden/>
    <w:qFormat/>
    <w:rsid w:val="00d2437a"/>
    <w:pPr>
      <w:pageBreakBefore/>
      <w:spacing w:before="360" w:after="240"/>
    </w:pPr>
    <w:rPr>
      <w:rFonts w:ascii="Arial" w:hAnsi="Arial" w:asciiTheme="majorHAnsi" w:hAnsiTheme="majorHAnsi"/>
      <w:b/>
      <w:sz w:val="40"/>
    </w:rPr>
  </w:style>
  <w:style w:type="paragraph" w:styleId="Compliance1" w:customStyle="1">
    <w:name w:val="Compliance 1 (#)"/>
    <w:uiPriority w:val="39"/>
    <w:semiHidden/>
    <w:qFormat/>
    <w:rsid w:val="00d2437a"/>
    <w:pPr>
      <w:widowControl/>
      <w:bidi w:val="0"/>
      <w:spacing w:before="280" w:after="100"/>
      <w:jc w:val="left"/>
    </w:pPr>
    <w:rPr>
      <w:rFonts w:ascii="Arial" w:hAnsi="Arial" w:asciiTheme="minorHAnsi" w:hAnsiTheme="minorHAnsi" w:eastAsia="Times New Roman" w:cs="Times New Roman"/>
      <w:b/>
      <w:color w:val="auto"/>
      <w:kern w:val="0"/>
      <w:sz w:val="26"/>
      <w:szCs w:val="28"/>
      <w:lang w:val="en-AU" w:eastAsia="en-AU" w:bidi="ar-SA"/>
    </w:rPr>
  </w:style>
  <w:style w:type="paragraph" w:styleId="Compliance2" w:customStyle="1">
    <w:name w:val="Compliance 2 (#)"/>
    <w:basedOn w:val="Compliance1"/>
    <w:uiPriority w:val="39"/>
    <w:semiHidden/>
    <w:qFormat/>
    <w:rsid w:val="00d2437a"/>
    <w:pPr>
      <w:spacing w:lineRule="auto" w:line="264" w:before="100" w:after="100"/>
    </w:pPr>
    <w:rPr>
      <w:b w:val="false"/>
      <w:sz w:val="21"/>
    </w:rPr>
  </w:style>
  <w:style w:type="paragraph" w:styleId="Compliance3" w:customStyle="1">
    <w:name w:val="Compliance 3 (#)"/>
    <w:basedOn w:val="Compliance2"/>
    <w:uiPriority w:val="39"/>
    <w:semiHidden/>
    <w:qFormat/>
    <w:rsid w:val="00d2437a"/>
    <w:pPr>
      <w:spacing w:before="120" w:after="120"/>
    </w:pPr>
    <w:rPr/>
  </w:style>
  <w:style w:type="paragraph" w:styleId="Compliance4" w:customStyle="1">
    <w:name w:val="Compliance 4 (#)"/>
    <w:basedOn w:val="Compliance3"/>
    <w:uiPriority w:val="39"/>
    <w:semiHidden/>
    <w:qFormat/>
    <w:rsid w:val="00d2437a"/>
    <w:pPr/>
    <w:rPr/>
  </w:style>
  <w:style w:type="paragraph" w:styleId="Compliance5" w:customStyle="1">
    <w:name w:val="Compliance 5 (#)"/>
    <w:basedOn w:val="Compliance4"/>
    <w:uiPriority w:val="39"/>
    <w:semiHidden/>
    <w:qFormat/>
    <w:rsid w:val="00d2437a"/>
    <w:pPr/>
    <w:rPr/>
  </w:style>
  <w:style w:type="paragraph" w:styleId="Compliance6" w:customStyle="1">
    <w:name w:val="Compliance 6 (#)"/>
    <w:basedOn w:val="Compliance5"/>
    <w:uiPriority w:val="39"/>
    <w:semiHidden/>
    <w:qFormat/>
    <w:rsid w:val="00d2437a"/>
    <w:pPr/>
    <w:rPr/>
  </w:style>
  <w:style w:type="paragraph" w:styleId="Schedule1" w:customStyle="1">
    <w:name w:val="Schedule 1 (#)"/>
    <w:basedOn w:val="Normal"/>
    <w:uiPriority w:val="24"/>
    <w:qFormat/>
    <w:rsid w:val="00d2437a"/>
    <w:pPr/>
    <w:rPr/>
  </w:style>
  <w:style w:type="paragraph" w:styleId="Schedule2" w:customStyle="1">
    <w:name w:val="Schedule 2 (#)"/>
    <w:basedOn w:val="Normal"/>
    <w:uiPriority w:val="24"/>
    <w:qFormat/>
    <w:rsid w:val="00d2437a"/>
    <w:pPr/>
    <w:rPr/>
  </w:style>
  <w:style w:type="paragraph" w:styleId="Schedule3" w:customStyle="1">
    <w:name w:val="Schedule 3 (#)"/>
    <w:basedOn w:val="Normal"/>
    <w:uiPriority w:val="24"/>
    <w:qFormat/>
    <w:rsid w:val="00d2437a"/>
    <w:pPr/>
    <w:rPr/>
  </w:style>
  <w:style w:type="paragraph" w:styleId="TableParagraph" w:customStyle="1">
    <w:name w:val="Table Paragraph"/>
    <w:basedOn w:val="Normal"/>
    <w:uiPriority w:val="1"/>
    <w:semiHidden/>
    <w:qFormat/>
    <w:rsid w:val="00d2437a"/>
    <w:pPr/>
    <w:rPr/>
  </w:style>
  <w:style w:type="paragraph" w:styleId="Tabletext1" w:customStyle="1">
    <w:name w:val="Table text"/>
    <w:basedOn w:val="TableParagraph"/>
    <w:uiPriority w:val="39"/>
    <w:qFormat/>
    <w:rsid w:val="00d2437a"/>
    <w:pPr>
      <w:tabs>
        <w:tab w:val="clear" w:pos="720"/>
        <w:tab w:val="left" w:pos="360" w:leader="none"/>
      </w:tabs>
    </w:pPr>
    <w:rPr>
      <w:rFonts w:ascii="Arial" w:hAnsi="Arial"/>
      <w:spacing w:val="-1"/>
      <w:sz w:val="19"/>
      <w:szCs w:val="19"/>
    </w:rPr>
  </w:style>
  <w:style w:type="paragraph" w:styleId="Tablebullet1" w:customStyle="1">
    <w:name w:val="Table bullet"/>
    <w:basedOn w:val="Tabletext1"/>
    <w:uiPriority w:val="39"/>
    <w:qFormat/>
    <w:rsid w:val="00d2437a"/>
    <w:pPr/>
    <w:rPr/>
  </w:style>
  <w:style w:type="paragraph" w:styleId="Tableheader1" w:customStyle="1">
    <w:name w:val="Table header"/>
    <w:basedOn w:val="TableParagraph"/>
    <w:uiPriority w:val="39"/>
    <w:qFormat/>
    <w:rsid w:val="00d2437a"/>
    <w:pPr>
      <w:spacing w:before="60" w:after="60"/>
    </w:pPr>
    <w:rPr>
      <w:b/>
      <w:color w:val="FFFFFF" w:themeColor="background1"/>
    </w:rPr>
  </w:style>
  <w:style w:type="paragraph" w:styleId="SupplierName" w:customStyle="1">
    <w:name w:val="Supplier Name"/>
    <w:basedOn w:val="Normal"/>
    <w:qFormat/>
    <w:rsid w:val="00d2437a"/>
    <w:pPr/>
    <w:rPr>
      <w:szCs w:val="26"/>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d2437a"/>
  </w:style>
  <w:style w:type="numbering" w:styleId="OutlineList1">
    <w:name w:val="Outline List 1"/>
    <w:uiPriority w:val="99"/>
    <w:semiHidden/>
    <w:unhideWhenUsed/>
    <w:qFormat/>
    <w:rsid w:val="00d2437a"/>
  </w:style>
  <w:style w:type="numbering" w:styleId="OutlineList3">
    <w:name w:val="Outline List 3"/>
    <w:uiPriority w:val="99"/>
    <w:semiHidden/>
    <w:unhideWhenUsed/>
    <w:qFormat/>
    <w:rsid w:val="00d2437a"/>
  </w:style>
  <w:style w:type="numbering" w:styleId="BulletList" w:customStyle="1">
    <w:name w:val="Bullet List"/>
    <w:uiPriority w:val="99"/>
    <w:qFormat/>
    <w:rsid w:val="00d2437a"/>
  </w:style>
  <w:style w:type="numbering" w:styleId="ClauseNumbering" w:customStyle="1">
    <w:name w:val="Clause Numbering"/>
    <w:uiPriority w:val="99"/>
    <w:qFormat/>
    <w:rsid w:val="00d243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2437a"/>
    <w:pPr>
      <w:spacing w:before="40" w:after="40"/>
    </w:pPr>
    <w:rPr>
      <w:rFonts w:asciiTheme="minorHAnsi" w:hAnsiTheme="minorHAnsi"/>
      <w:sz w:val="19"/>
      <w:szCs w:val="22"/>
    </w:rPr>
    <w:tblPr>
      <w:tblStyleRowBandSize w:val="1"/>
      <w:tblStyleColBandSize w:val="1"/>
      <w:tblBorders>
        <w:bottom w:val="single" w:color="BFBFBF" w:themeColor="background1" w:sz="12" w:space="0"/>
      </w:tblBorders>
      <w:tblCellMar>
        <w:left w:w="58" w:type="dxa"/>
        <w:right w:w="58" w:type="dxa"/>
      </w:tblCellMar>
    </w:tblPr>
    <w:tblStylePr w:type="firstRow">
      <w:pPr>
        <w:wordWrap/>
        <w:ind w:right="0" w:rightChars="0"/>
        <w:spacing w:beforeLines="0" w:afterLines="0" w:line="240" w:lineRule="auto"/>
        <w:jc w:val="left"/>
      </w:pPr>
      <w:rPr>
        <w:b w:val="0"/>
        <w:i w:val="0"/>
        <w:caps w:val="0"/>
        <w:smallCaps w:val="0"/>
        <w:color w:val="FFFFFF" w:themeColor="background1"/>
        <w:sz w:val="22"/>
      </w:rPr>
      <w:tblPr/>
      <w:tcPr>
        <w:shd w:val="clear" w:color="auto" w:fill="53565A"/>
      </w:tcPr>
    </w:tblStylePr>
    <w:tblStylePr w:type="lastRow">
      <w:tblPr/>
      <w:tcPr>
        <w:tcBorders>
          <w:bottom w:val="single" w:color="53565A" w:sz="12" w:space="0"/>
        </w:tcBorders>
      </w:tcPr>
    </w:tblStylePr>
    <w:tblStylePr w:type="firstCol">
      <w:rPr>
        <w:b w:val="0"/>
        <w:color w:val="auto"/>
      </w:rPr>
      <w:tbl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table" w:styleId="ColorfulGrid">
    <w:name w:val="Colorful Grid"/>
    <w:basedOn w:val="TableNormal"/>
    <w:uiPriority w:val="73"/>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TableClassic1">
    <w:name w:val="Table Classic 1"/>
    <w:basedOn w:val="TableGrid"/>
    <w:uiPriority w:val="99"/>
    <w:semiHidden/>
    <w:unhideWhenUsed/>
    <w:rsid w:val="00d2437a"/>
    <w:pPr>
      <w:spacing w:after="120" w:line="280" w:lineRule="atLeast"/>
    </w:pPr>
    <w:tblPr>
      <w:tblBorders>
        <w:top w:val="single" w:color="000000" w:sz="12" w:space="0"/>
        <w:bottom w:val="single" w:color="000000" w:sz="12" w:space="0"/>
      </w:tblBorders>
    </w:tblPr>
    <w:tcPr>
      <w:shd w:val="clear" w:color="auto" w:fill="auto"/>
    </w:tcPr>
    <w:tblStylePr w:type="firstRow">
      <w:pPr>
        <w:wordWrap/>
        <w:ind w:right="0" w:rightChars="0"/>
        <w:spacing w:beforeLines="0" w:afterLines="0" w:line="240" w:lineRule="auto"/>
        <w:jc w:val="left"/>
      </w:pPr>
      <w:rPr>
        <w:b w:val="0"/>
        <w:i w:val="0"/>
        <w:caps/>
        <w:smallCaps w:val="0"/>
        <w:color w:val="365F91"/>
        <w:sz w:val="18"/>
      </w:rPr>
      <w:tblPr/>
      <w:tcPr>
        <w:tcBorders>
          <w:top w:val="single" w:color="C0C0C0" w:sz="4" w:space="0"/>
          <w:left w:val="single" w:color="C0C0C0" w:sz="4" w:space="0"/>
          <w:bottom w:val="single" w:color="000000" w:sz="6" w:space="0"/>
          <w:right w:val="single" w:color="C0C0C0" w:sz="4" w:space="0"/>
          <w:insideH w:val="single" w:color="C0C0C0" w:sz="4" w:space="0"/>
          <w:insideV w:val="single" w:color="C0C0C0" w:sz="4" w:space="0"/>
          <w:tl2br w:val="none" w:color="auto" w:sz="0" w:space="0"/>
          <w:tr2bl w:val="none" w:color="auto" w:sz="0" w:space="0"/>
        </w:tcBorders>
        <w:shd w:val="clear" w:color="auto" w:fill="D9D9D9"/>
      </w:tcPr>
    </w:tblStylePr>
    <w:tblStylePr w:type="lastRow">
      <w:rPr>
        <w:color w:val="auto"/>
      </w:rPr>
      <w:tblPr/>
      <w:tcPr>
        <w:tcBorders>
          <w:top w:val="single" w:color="000000" w:sz="6" w:space="0"/>
          <w:bottom w:val="single" w:color="660B68" w:sz="12" w:space="0"/>
          <w:tl2br w:val="none" w:color="auto" w:sz="0" w:space="0"/>
          <w:tr2bl w:val="none" w:color="auto" w:sz="0" w:space="0"/>
        </w:tcBorders>
      </w:tcPr>
    </w:tblStylePr>
    <w:tblStylePr w:type="firstCol">
      <w:rPr>
        <w:b/>
        <w:color w:val="4C4C4C"/>
      </w:rPr>
      <w:tblPr/>
      <w:tcPr>
        <w:tcBorders>
          <w:top w:val="nil"/>
          <w:left w:val="nil"/>
          <w:bottom w:val="nil"/>
          <w:right w:val="single" w:color="000000" w:sz="6" w:space="0"/>
          <w:insideH w:val="nil"/>
          <w:insideV w:val="nil"/>
          <w:tl2br w:val="none" w:color="auto" w:sz="0" w:space="0"/>
          <w:tr2bl w:val="none" w:color="auto" w:sz="0" w:space="0"/>
        </w:tcBorders>
        <w:shd w:val="clear" w:color="auto" w:fill="D9D9D9"/>
      </w:tcPr>
    </w:tblStylePr>
    <w:tblStylePr w:type="band1Horz">
      <w:tblPr/>
      <w:tcPr>
        <w:shd w:val="clear" w:color="auto" w:fill="FFFFFF" w:themeFill="background1"/>
      </w:tcPr>
    </w:tblStylePr>
    <w:tblStylePr w:type="band2Horz">
      <w:tblPr/>
      <w:tcPr>
        <w:shd w:val="clear" w:color="auto" w:fill="F2F2F2"/>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Grid2">
    <w:name w:val="Table Grid 2"/>
    <w:basedOn w:val="TableGrid"/>
    <w:uiPriority w:val="99"/>
    <w:unhideWhenUsed/>
    <w:rsid w:val="00d2437a"/>
    <w:pPr>
      <w:spacing w:after="120" w:line="280" w:lineRule="atLeast"/>
    </w:pPr>
    <w:tblPr>
      <w:tblBorders>
        <w:top w:val="single" w:color="auto" w:sz="4" w:space="0"/>
        <w:bottom w:val="single" w:color="auto" w:sz="4" w:space="0"/>
        <w:insideH w:val="single" w:color="auto" w:sz="4" w:space="0"/>
      </w:tblBorders>
      <w:tblCellMar>
        <w:left w:w="57" w:type="dxa"/>
        <w:right w:w="57" w:type="dxa"/>
      </w:tblCellMar>
    </w:tblPr>
    <w:tcPr>
      <w:shd w:val="clear" w:color="auto" w:fill="auto"/>
    </w:tcPr>
    <w:tblStylePr w:type="firstRow">
      <w:pPr>
        <w:wordWrap/>
        <w:ind w:right="0" w:rightChars="0"/>
        <w:spacing w:beforeLines="0" w:afterLines="0" w:line="240" w:lineRule="auto"/>
        <w:jc w:val="left"/>
      </w:pPr>
      <w:rPr>
        <w:b w:val="0"/>
        <w:bCs/>
        <w:i w:val="0"/>
        <w:caps w:val="0"/>
        <w:smallCaps w:val="0"/>
        <w:color w:val="4C4C4C"/>
        <w:sz w:val="24"/>
      </w:rPr>
      <w:tblPr/>
      <w:tcPr>
        <w:tcBorders>
          <w:top w:val="single" w:color="auto" w:sz="4" w:space="0"/>
          <w:left w:val="nil"/>
          <w:bottom w:val="nil"/>
          <w:right w:val="nil"/>
          <w:insideH w:val="nil"/>
          <w:insideV w:val="nil"/>
          <w:tl2br w:val="nil"/>
          <w:tr2bl w:val="nil"/>
        </w:tcBorders>
        <w:shd w:val="clear" w:color="auto" w:fill="D9D9D9"/>
      </w:tcPr>
    </w:tblStylePr>
    <w:tblStylePr w:type="lastRow">
      <w:rPr>
        <w:b w:val="0"/>
        <w:bCs/>
      </w:rPr>
      <w:tblPr/>
      <w:tcPr>
        <w:tcBorders>
          <w:top w:val="single" w:color="auto" w:sz="4" w:space="0"/>
          <w:left w:val="nil"/>
          <w:bottom w:val="single" w:color="auto" w:sz="4" w:space="0"/>
          <w:right w:val="nil"/>
          <w:insideH w:val="single" w:color="C0C0C0" w:sz="4" w:space="0"/>
          <w:insideV w:val="nil"/>
          <w:tl2br w:val="nil"/>
          <w:tr2bl w:val="nil"/>
        </w:tcBorders>
        <w:shd w:val="clear" w:color="auto" w:fill="auto"/>
      </w:tcPr>
    </w:tblStylePr>
    <w:tblStylePr w:type="firstCol">
      <w:rPr>
        <w:b/>
        <w:bCs/>
        <w:caps w:val="0"/>
        <w:color w:val="auto"/>
      </w:rPr>
      <w:tblPr/>
      <w:tcPr>
        <w:tcBorders>
          <w:top w:val="single" w:color="C0C0C0" w:sz="4" w:space="0"/>
          <w:left w:val="single" w:color="C0C0C0" w:sz="4" w:space="0"/>
          <w:bottom w:val="single" w:color="C0C0C0" w:sz="4" w:space="0"/>
          <w:right w:val="nil"/>
        </w:tcBorders>
        <w:shd w:val="clear" w:color="auto" w:fill="E6E6E6"/>
      </w:tcPr>
    </w:tblStylePr>
    <w:tblStylePr w:type="lastCol">
      <w:rPr>
        <w:b w:val="0"/>
        <w:bCs/>
      </w:rPr>
      <w:tblPr/>
      <w:tcPr>
        <w:tcBorders>
          <w:tl2br w:val="none" w:color="auto" w:sz="0" w:space="0"/>
          <w:tr2bl w:val="none" w:color="auto" w:sz="0" w:space="0"/>
        </w:tcBorders>
      </w:tcPr>
    </w:tblStylePr>
    <w:tblStylePr w:type="band1Horz">
      <w:tblPr/>
      <w:tcPr>
        <w:shd w:val="clear" w:color="auto" w:fill="FFFFFF" w:themeFill="background1"/>
      </w:tcPr>
    </w:tblStylePr>
    <w:tblStylePr w:type="band2Horz">
      <w:tblPr/>
      <w:tcPr>
        <w:shd w:val="clear" w:color="auto" w:fill="F2F2F2" w:themeFill="background1" w:themeFillShade="f2"/>
      </w:tcPr>
    </w:tblStylePr>
    <w:tblStylePr w:type="swCell">
      <w:rPr>
        <w:b/>
        <w:color w:val="auto"/>
      </w:rPr>
      <w:tblPr/>
      <w:tcPr>
        <w:tcBorders>
          <w:top w:val="single" w:color="auto" w:sz="6" w:space="0"/>
          <w:left w:val="single" w:color="BFBFBF" w:sz="6" w:space="0"/>
          <w:bottom w:val="single" w:color="auto" w:sz="6" w:space="0"/>
          <w:right w:val="single" w:color="BFBFBF" w:sz="6" w:space="0"/>
          <w:insideH w:val="nil"/>
          <w:insideV w:val="nil"/>
          <w:tl2br w:val="nil"/>
          <w:tr2bl w:val="nil"/>
        </w:tcBorders>
        <w:shd w:val="clear" w:color="auto" w:fill="E6E6E6"/>
      </w:tcPr>
    </w:tblStylePr>
  </w:style>
  <w:style w:type="table" w:styleId="LightShading-Accent1">
    <w:name w:val="Light Shading Accent 1"/>
    <w:basedOn w:val="TableNormal"/>
    <w:uiPriority w:val="60"/>
    <w:rsid w:val="00d2437a"/>
    <w:pPr>
      <w:spacing w:before="100" w:after="100"/>
    </w:pPr>
    <w:rPr>
      <w:color w:val="365F91"/>
      <w:sz w:val="22"/>
      <w:szCs w:val="22"/>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olorfulGrid-Accent3">
    <w:name w:val="Colorful Grid Accent 3"/>
    <w:basedOn w:val="TableNormal"/>
    <w:uiPriority w:val="73"/>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LightShading">
    <w:name w:val="Light Shading"/>
    <w:basedOn w:val="TableNormal"/>
    <w:uiPriority w:val="60"/>
    <w:semiHidden/>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FBFBF"/>
      </w:tcPr>
    </w:tblStylePr>
    <w:tblStylePr w:type="band1Horz">
      <w:tblPr/>
      <w:tcPr>
        <w:tcBorders>
          <w:left w:val="nil"/>
          <w:right w:val="nil"/>
          <w:insideH w:val="nil"/>
          <w:insideV w:val="nil"/>
        </w:tcBorders>
        <w:shd w:val="clear" w:color="auto" w:fill="BFBFBF"/>
      </w:tcPr>
    </w:tblStylePr>
  </w:style>
  <w:style w:type="table" w:styleId="ColorfulGrid-Accent4">
    <w:name w:val="Colorful Grid Accent 4"/>
    <w:basedOn w:val="TableNormal"/>
    <w:uiPriority w:val="73"/>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d2437a"/>
    <w:pPr>
      <w:spacing w:before="100" w:after="100"/>
    </w:pPr>
    <w:rPr>
      <w:color w:val="000000"/>
      <w:sz w:val="22"/>
      <w:szCs w:val="22"/>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d2437a"/>
    <w:pPr>
      <w:spacing w:before="100" w:after="100"/>
    </w:pPr>
    <w:rPr>
      <w:color w:val="000000"/>
      <w:sz w:val="22"/>
      <w:szCs w:val="22"/>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d2437a"/>
    <w:pPr>
      <w:spacing w:before="100" w:after="100"/>
    </w:pPr>
    <w:rPr>
      <w:color w:val="000000"/>
      <w:sz w:val="22"/>
      <w:szCs w:val="22"/>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d2437a"/>
    <w:pPr>
      <w:spacing w:before="100" w:after="100"/>
    </w:pPr>
    <w:rPr>
      <w:color w:val="000000"/>
      <w:sz w:val="22"/>
      <w:szCs w:val="22"/>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d2437a"/>
    <w:pPr>
      <w:spacing w:before="100" w:after="100"/>
    </w:pPr>
    <w:rPr>
      <w:color w:val="000000"/>
      <w:sz w:val="22"/>
      <w:szCs w:val="22"/>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d2437a"/>
    <w:pPr>
      <w:spacing w:before="100" w:after="100"/>
    </w:pPr>
    <w:rPr>
      <w:color w:val="000000"/>
      <w:sz w:val="22"/>
      <w:szCs w:val="22"/>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d2437a"/>
    <w:pPr>
      <w:spacing w:before="100" w:after="100"/>
    </w:pPr>
    <w:rPr>
      <w:color w:val="000000"/>
      <w:sz w:val="22"/>
      <w:szCs w:val="22"/>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d2437a"/>
    <w:pPr>
      <w:spacing w:before="100" w:after="100"/>
    </w:pPr>
    <w:rPr>
      <w:color w:val="000000"/>
      <w:sz w:val="22"/>
      <w:szCs w:val="22"/>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ColorfulShading-Accent1">
    <w:name w:val="Colorful Shading Accent 1"/>
    <w:basedOn w:val="TableNormal"/>
    <w:uiPriority w:val="71"/>
    <w:rsid w:val="00d2437a"/>
    <w:pPr>
      <w:spacing w:before="100" w:after="100"/>
    </w:pPr>
    <w:rPr>
      <w:color w:val="000000"/>
      <w:sz w:val="22"/>
      <w:szCs w:val="22"/>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rsid w:val="00d2437a"/>
    <w:pPr>
      <w:spacing w:before="100" w:after="100"/>
    </w:pPr>
    <w:rPr>
      <w:color w:val="000000"/>
      <w:sz w:val="22"/>
      <w:szCs w:val="22"/>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rsid w:val="00d2437a"/>
    <w:pPr>
      <w:spacing w:before="100" w:after="100"/>
    </w:pPr>
    <w:rPr>
      <w:color w:val="000000"/>
      <w:sz w:val="22"/>
      <w:szCs w:val="22"/>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d2437a"/>
    <w:pPr>
      <w:spacing w:before="100" w:after="100"/>
    </w:pPr>
    <w:rPr>
      <w:color w:val="000000"/>
      <w:sz w:val="22"/>
      <w:szCs w:val="22"/>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rsid w:val="00d2437a"/>
    <w:pPr>
      <w:spacing w:before="100" w:after="100"/>
    </w:pPr>
    <w:rPr>
      <w:color w:val="000000"/>
      <w:sz w:val="22"/>
      <w:szCs w:val="22"/>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rsid w:val="00d2437a"/>
    <w:pPr>
      <w:spacing w:before="100" w:after="100"/>
    </w:pPr>
    <w:rPr>
      <w:color w:val="000000"/>
      <w:sz w:val="22"/>
      <w:szCs w:val="22"/>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Pr/>
    </w:tblStylePr>
    <w:tblStylePr w:type="nwCell">
      <w:rPr>
        <w:color w:val="000000"/>
      </w:rPr>
      <w:tblPr/>
    </w:tblStylePr>
  </w:style>
  <w:style w:type="table" w:styleId="DarkList">
    <w:name w:val="Dark List"/>
    <w:basedOn w:val="TableNormal"/>
    <w:uiPriority w:val="70"/>
    <w:rsid w:val="00d2437a"/>
    <w:pPr>
      <w:spacing w:before="100" w:after="100"/>
    </w:pPr>
    <w:rPr>
      <w:color w:val="FFFFFF"/>
      <w:sz w:val="22"/>
      <w:szCs w:val="22"/>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d2437a"/>
    <w:pPr>
      <w:spacing w:before="100" w:after="100"/>
    </w:pPr>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d2437a"/>
    <w:pPr>
      <w:spacing w:before="100" w:after="100"/>
    </w:pPr>
    <w:rPr>
      <w:color w:val="FFFFFF"/>
      <w:sz w:val="22"/>
      <w:szCs w:val="22"/>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d2437a"/>
    <w:pPr>
      <w:spacing w:before="100" w:after="100"/>
    </w:pPr>
    <w:rPr>
      <w:color w:val="FFFFFF"/>
      <w:sz w:val="22"/>
      <w:szCs w:val="22"/>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d2437a"/>
    <w:pPr>
      <w:spacing w:before="100" w:after="100"/>
    </w:pPr>
    <w:rPr>
      <w:color w:val="FFFFFF"/>
      <w:sz w:val="22"/>
      <w:szCs w:val="22"/>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d2437a"/>
    <w:pPr>
      <w:spacing w:before="100" w:after="100"/>
    </w:pPr>
    <w:rPr>
      <w:color w:val="FFFFFF"/>
      <w:sz w:val="22"/>
      <w:szCs w:val="22"/>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d2437a"/>
    <w:pPr>
      <w:spacing w:before="100" w:after="100"/>
    </w:pPr>
    <w:rPr>
      <w:color w:val="FFFFFF"/>
      <w:sz w:val="22"/>
      <w:szCs w:val="22"/>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d2437a"/>
    <w:pPr>
      <w:spacing w:before="100" w:after="100"/>
    </w:pPr>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uiPriority w:val="62"/>
    <w:rsid w:val="00d2437a"/>
    <w:pPr>
      <w:spacing w:before="100" w:after="100"/>
    </w:pPr>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uiPriority w:val="62"/>
    <w:rsid w:val="00d2437a"/>
    <w:pPr>
      <w:spacing w:before="100" w:after="100"/>
    </w:pPr>
    <w:rPr>
      <w:sz w:val="22"/>
      <w:szCs w:val="22"/>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b/>
        <w:bCs/>
      </w:rPr>
      <w:tblPr/>
    </w:tblStylePr>
    <w:tblStylePr w:type="lastCol">
      <w:rPr>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uiPriority w:val="62"/>
    <w:rsid w:val="00d2437a"/>
    <w:pPr>
      <w:spacing w:before="100" w:after="100"/>
    </w:pPr>
    <w:rPr>
      <w:sz w:val="22"/>
      <w:szCs w:val="22"/>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b/>
        <w:bCs/>
      </w:rPr>
      <w:tblPr/>
    </w:tblStylePr>
    <w:tblStylePr w:type="lastCol">
      <w:rPr>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uiPriority w:val="62"/>
    <w:rsid w:val="00d2437a"/>
    <w:pPr>
      <w:spacing w:before="100" w:after="100"/>
    </w:pPr>
    <w:rPr>
      <w:sz w:val="22"/>
      <w:szCs w:val="22"/>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b/>
        <w:bCs/>
      </w:rPr>
      <w:tblPr/>
    </w:tblStylePr>
    <w:tblStylePr w:type="lastCol">
      <w:rPr>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uiPriority w:val="62"/>
    <w:rsid w:val="00d2437a"/>
    <w:pPr>
      <w:spacing w:before="100" w:after="100"/>
    </w:pPr>
    <w:rPr>
      <w:sz w:val="22"/>
      <w:szCs w:val="22"/>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uiPriority w:val="62"/>
    <w:rsid w:val="00d2437a"/>
    <w:pPr>
      <w:spacing w:before="100" w:after="100"/>
    </w:pPr>
    <w:rPr>
      <w:sz w:val="22"/>
      <w:szCs w:val="22"/>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b/>
        <w:bCs/>
      </w:rPr>
      <w:tblPr/>
    </w:tblStylePr>
    <w:tblStylePr w:type="lastCol">
      <w:rPr>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styleId="LightList">
    <w:name w:val="Light List"/>
    <w:basedOn w:val="TableNormal"/>
    <w:uiPriority w:val="61"/>
    <w:rsid w:val="00d2437a"/>
    <w:pPr>
      <w:spacing w:before="100" w:after="100"/>
    </w:pPr>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rsid w:val="00d2437a"/>
    <w:pPr>
      <w:spacing w:before="100" w:after="100"/>
    </w:pPr>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rsid w:val="00d2437a"/>
    <w:pPr>
      <w:spacing w:before="100" w:after="100"/>
    </w:pPr>
    <w:rPr>
      <w:sz w:val="22"/>
      <w:szCs w:val="22"/>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rsid w:val="00d2437a"/>
    <w:pPr>
      <w:spacing w:before="100" w:after="100"/>
    </w:pPr>
    <w:rPr>
      <w:sz w:val="22"/>
      <w:szCs w:val="22"/>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rsid w:val="00d2437a"/>
    <w:pPr>
      <w:spacing w:before="100" w:after="100"/>
    </w:pPr>
    <w:rPr>
      <w:sz w:val="22"/>
      <w:szCs w:val="22"/>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Pr/>
    </w:tblStylePr>
    <w:tblStylePr w:type="lastCol">
      <w:rPr>
        <w:b/>
        <w:bCs/>
      </w:rPr>
      <w:tbl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rsid w:val="00d2437a"/>
    <w:pPr>
      <w:spacing w:before="100" w:after="100"/>
    </w:pPr>
    <w:rPr>
      <w:sz w:val="22"/>
      <w:szCs w:val="22"/>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rsid w:val="00d2437a"/>
    <w:pPr>
      <w:spacing w:before="100" w:after="100"/>
    </w:pPr>
    <w:rPr>
      <w:sz w:val="22"/>
      <w:szCs w:val="22"/>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LightShading-Accent2">
    <w:name w:val="Light Shading Accent 2"/>
    <w:basedOn w:val="TableNormal"/>
    <w:uiPriority w:val="60"/>
    <w:rsid w:val="00d2437a"/>
    <w:pPr>
      <w:spacing w:before="100" w:after="100"/>
    </w:pPr>
    <w:rPr>
      <w:color w:val="943634"/>
      <w:sz w:val="22"/>
      <w:szCs w:val="22"/>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d2437a"/>
    <w:pPr>
      <w:spacing w:before="100" w:after="100"/>
    </w:pPr>
    <w:rPr>
      <w:color w:val="76923C"/>
      <w:sz w:val="22"/>
      <w:szCs w:val="22"/>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d2437a"/>
    <w:pPr>
      <w:spacing w:before="100" w:after="100"/>
    </w:pPr>
    <w:rPr>
      <w:color w:val="5F497A"/>
      <w:sz w:val="22"/>
      <w:szCs w:val="22"/>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d2437a"/>
    <w:pPr>
      <w:spacing w:before="100" w:after="100"/>
    </w:pPr>
    <w:rPr>
      <w:color w:val="31849B"/>
      <w:sz w:val="22"/>
      <w:szCs w:val="22"/>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d2437a"/>
    <w:pPr>
      <w:spacing w:before="100" w:after="100"/>
    </w:pPr>
    <w:rPr>
      <w:color w:val="E36C0A"/>
      <w:sz w:val="22"/>
      <w:szCs w:val="22"/>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d2437a"/>
    <w:pPr>
      <w:spacing w:before="100" w:after="100"/>
    </w:pPr>
    <w:rPr>
      <w:sz w:val="22"/>
      <w:szCs w:val="22"/>
    </w:rPr>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d2437a"/>
    <w:pPr>
      <w:spacing w:before="100" w:after="100"/>
    </w:pPr>
    <w:rPr>
      <w:sz w:val="22"/>
      <w:szCs w:val="22"/>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Pr/>
    </w:tblStylePr>
    <w:tblStylePr w:type="lastRow">
      <w:rPr>
        <w:b/>
        <w:bCs/>
      </w:rPr>
      <w:tblPr/>
      <w:tcPr>
        <w:tcBorders>
          <w:top w:val="single" w:color="7BA0CD" w:sz="18" w:space="0"/>
        </w:tcBorders>
      </w:tcPr>
    </w:tblStylePr>
    <w:tblStylePr w:type="firstCol">
      <w:rPr>
        <w:b/>
        <w:bCs/>
      </w:rPr>
      <w:tblPr/>
    </w:tblStylePr>
    <w:tblStylePr w:type="lastCol">
      <w:rPr>
        <w:b/>
        <w:bCs/>
      </w:rPr>
      <w:tbl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d2437a"/>
    <w:pPr>
      <w:spacing w:before="100" w:after="100"/>
    </w:pPr>
    <w:rPr>
      <w:sz w:val="22"/>
      <w:szCs w:val="22"/>
    </w:rPr>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d2437a"/>
    <w:pPr>
      <w:spacing w:before="100" w:after="100"/>
    </w:pPr>
    <w:rPr>
      <w:sz w:val="22"/>
      <w:szCs w:val="22"/>
    </w:rPr>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Pr/>
    </w:tblStylePr>
    <w:tblStylePr w:type="lastRow">
      <w:rPr>
        <w:b/>
        <w:bCs/>
      </w:rPr>
      <w:tblPr/>
      <w:tcPr>
        <w:tcBorders>
          <w:top w:val="single" w:color="B3CC82" w:sz="18" w:space="0"/>
        </w:tcBorders>
      </w:tcPr>
    </w:tblStylePr>
    <w:tblStylePr w:type="firstCol">
      <w:rPr>
        <w:b/>
        <w:bCs/>
      </w:rPr>
      <w:tblPr/>
    </w:tblStylePr>
    <w:tblStylePr w:type="lastCol">
      <w:rPr>
        <w:b/>
        <w:bCs/>
      </w:rPr>
      <w:tbl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d2437a"/>
    <w:pPr>
      <w:spacing w:before="100" w:after="100"/>
    </w:pPr>
    <w:rPr>
      <w:sz w:val="22"/>
      <w:szCs w:val="22"/>
    </w:rPr>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Pr/>
    </w:tblStylePr>
    <w:tblStylePr w:type="lastRow">
      <w:rPr>
        <w:b/>
        <w:bCs/>
      </w:rPr>
      <w:tblPr/>
      <w:tcPr>
        <w:tcBorders>
          <w:top w:val="single" w:color="9F8AB9" w:sz="18" w:space="0"/>
        </w:tcBorders>
      </w:tcPr>
    </w:tblStylePr>
    <w:tblStylePr w:type="firstCol">
      <w:rPr>
        <w:b/>
        <w:bCs/>
      </w:rPr>
      <w:tblPr/>
    </w:tblStylePr>
    <w:tblStylePr w:type="lastCol">
      <w:rPr>
        <w:b/>
        <w:bCs/>
      </w:rPr>
      <w:tbl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d2437a"/>
    <w:pPr>
      <w:spacing w:before="100" w:after="100"/>
    </w:pPr>
    <w:rPr>
      <w:sz w:val="22"/>
      <w:szCs w:val="22"/>
    </w:rPr>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Pr/>
    </w:tblStylePr>
    <w:tblStylePr w:type="lastRow">
      <w:rPr>
        <w:b/>
        <w:bCs/>
      </w:rPr>
      <w:tblPr/>
      <w:tcPr>
        <w:tcBorders>
          <w:top w:val="single" w:color="78C0D4" w:sz="18" w:space="0"/>
        </w:tcBorders>
      </w:tcPr>
    </w:tblStylePr>
    <w:tblStylePr w:type="firstCol">
      <w:rPr>
        <w:b/>
        <w:bCs/>
      </w:rPr>
      <w:tblPr/>
    </w:tblStylePr>
    <w:tblStylePr w:type="lastCol">
      <w:rPr>
        <w:b/>
        <w:bCs/>
      </w:rPr>
      <w:tbl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d2437a"/>
    <w:pPr>
      <w:spacing w:before="100" w:after="100"/>
    </w:pPr>
    <w:rPr>
      <w:sz w:val="22"/>
      <w:szCs w:val="22"/>
    </w:rPr>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Pr/>
    </w:tblStylePr>
    <w:tblStylePr w:type="lastRow">
      <w:rPr>
        <w:b/>
        <w:bCs/>
      </w:rPr>
      <w:tblPr/>
      <w:tcPr>
        <w:tcBorders>
          <w:top w:val="single" w:color="F9B074" w:sz="18" w:space="0"/>
        </w:tcBorders>
      </w:tcPr>
    </w:tblStylePr>
    <w:tblStylePr w:type="firstCol">
      <w:rPr>
        <w:b/>
        <w:bCs/>
      </w:rPr>
      <w:tblPr/>
    </w:tblStylePr>
    <w:tblStylePr w:type="lastCol">
      <w:rPr>
        <w:b/>
        <w:bCs/>
      </w:rPr>
      <w:tbl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d2437a"/>
    <w:pPr>
      <w:spacing w:before="100" w:after="100"/>
    </w:pPr>
    <w:rPr>
      <w:color w:val="000000"/>
      <w:sz w:val="22"/>
      <w:szCs w:val="22"/>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d2437a"/>
    <w:pPr>
      <w:spacing w:before="100" w:after="100"/>
    </w:pPr>
    <w:rPr>
      <w:color w:val="000000"/>
      <w:sz w:val="22"/>
      <w:szCs w:val="22"/>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d2437a"/>
    <w:pPr>
      <w:spacing w:before="100" w:after="100"/>
    </w:pPr>
    <w:rPr>
      <w:color w:val="000000"/>
      <w:sz w:val="22"/>
      <w:szCs w:val="22"/>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d2437a"/>
    <w:pPr>
      <w:spacing w:before="100" w:after="100"/>
    </w:pPr>
    <w:rPr>
      <w:color w:val="000000"/>
      <w:sz w:val="22"/>
      <w:szCs w:val="22"/>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d2437a"/>
    <w:pPr>
      <w:spacing w:before="100" w:after="100"/>
    </w:pPr>
    <w:rPr>
      <w:color w:val="000000"/>
      <w:sz w:val="22"/>
      <w:szCs w:val="22"/>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d2437a"/>
    <w:pPr>
      <w:spacing w:before="100" w:after="100"/>
    </w:pPr>
    <w:rPr>
      <w:color w:val="000000"/>
      <w:sz w:val="22"/>
      <w:szCs w:val="22"/>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d2437a"/>
    <w:pPr>
      <w:spacing w:before="100" w:after="100"/>
    </w:pPr>
    <w:rPr>
      <w:color w:val="000000"/>
      <w:sz w:val="22"/>
      <w:szCs w:val="22"/>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69"/>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uiPriority w:val="69"/>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uiPriority w:val="69"/>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uiPriority w:val="69"/>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uiPriority w:val="69"/>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uiPriority w:val="69"/>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styleId="MediumList1">
    <w:name w:val="Medium List 1"/>
    <w:basedOn w:val="TableNormal"/>
    <w:uiPriority w:val="65"/>
    <w:rsid w:val="00d2437a"/>
    <w:pPr>
      <w:spacing w:before="100" w:after="100"/>
    </w:pPr>
    <w:rPr>
      <w:color w:val="000000"/>
      <w:sz w:val="22"/>
      <w:szCs w:val="22"/>
    </w:rPr>
    <w:tblPr>
      <w:tblStyleRowBandSize w:val="1"/>
      <w:tblStyleColBandSize w:val="1"/>
      <w:tblBorders>
        <w:top w:val="single" w:color="000000" w:sz="8" w:space="0"/>
        <w:bottom w:val="single" w:color="000000" w:sz="8" w:space="0"/>
      </w:tblBorders>
    </w:tblPr>
    <w:tblStylePr w:type="firstRow">
      <w:rPr/>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2437a"/>
    <w:pPr>
      <w:spacing w:before="100" w:after="100"/>
    </w:pPr>
    <w:rPr>
      <w:color w:val="000000"/>
      <w:sz w:val="22"/>
      <w:szCs w:val="22"/>
    </w:rPr>
    <w:tblPr>
      <w:tblStyleRowBandSize w:val="1"/>
      <w:tblStyleColBandSize w:val="1"/>
      <w:tblBorders>
        <w:top w:val="single" w:color="4F81BD" w:sz="8" w:space="0"/>
        <w:bottom w:val="single" w:color="4F81BD" w:sz="8" w:space="0"/>
      </w:tblBorders>
    </w:tblPr>
    <w:tblStylePr w:type="firstRow">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d2437a"/>
    <w:pPr>
      <w:spacing w:before="100" w:after="100"/>
    </w:pPr>
    <w:rPr>
      <w:color w:val="000000"/>
      <w:sz w:val="22"/>
      <w:szCs w:val="22"/>
    </w:rPr>
    <w:tblPr>
      <w:tblStyleRowBandSize w:val="1"/>
      <w:tblStyleColBandSize w:val="1"/>
      <w:tblBorders>
        <w:top w:val="single" w:color="C0504D" w:sz="8" w:space="0"/>
        <w:bottom w:val="single" w:color="C0504D" w:sz="8" w:space="0"/>
      </w:tblBorders>
    </w:tblPr>
    <w:tblStylePr w:type="firstRow">
      <w:rPr/>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d2437a"/>
    <w:pPr>
      <w:spacing w:before="100" w:after="100"/>
    </w:pPr>
    <w:rPr>
      <w:color w:val="000000"/>
      <w:sz w:val="22"/>
      <w:szCs w:val="22"/>
    </w:rPr>
    <w:tblPr>
      <w:tblStyleRowBandSize w:val="1"/>
      <w:tblStyleColBandSize w:val="1"/>
      <w:tblBorders>
        <w:top w:val="single" w:color="9BBB59" w:sz="8" w:space="0"/>
        <w:bottom w:val="single" w:color="9BBB59" w:sz="8" w:space="0"/>
      </w:tblBorders>
    </w:tblPr>
    <w:tblStylePr w:type="firstRow">
      <w:rPr/>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d2437a"/>
    <w:pPr>
      <w:spacing w:before="100" w:after="100"/>
    </w:pPr>
    <w:rPr>
      <w:color w:val="000000"/>
      <w:sz w:val="22"/>
      <w:szCs w:val="22"/>
    </w:rPr>
    <w:tblPr>
      <w:tblStyleRowBandSize w:val="1"/>
      <w:tblStyleColBandSize w:val="1"/>
      <w:tblBorders>
        <w:top w:val="single" w:color="8064A2" w:sz="8" w:space="0"/>
        <w:bottom w:val="single" w:color="8064A2" w:sz="8" w:space="0"/>
      </w:tblBorders>
    </w:tblPr>
    <w:tblStylePr w:type="firstRow">
      <w:rPr/>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d2437a"/>
    <w:pPr>
      <w:spacing w:before="100" w:after="100"/>
    </w:pPr>
    <w:rPr>
      <w:color w:val="000000"/>
      <w:sz w:val="22"/>
      <w:szCs w:val="22"/>
    </w:rPr>
    <w:tblPr>
      <w:tblStyleRowBandSize w:val="1"/>
      <w:tblStyleColBandSize w:val="1"/>
      <w:tblBorders>
        <w:top w:val="single" w:color="4BACC6" w:sz="8" w:space="0"/>
        <w:bottom w:val="single" w:color="4BACC6" w:sz="8" w:space="0"/>
      </w:tblBorders>
    </w:tblPr>
    <w:tblStylePr w:type="firstRow">
      <w:rPr/>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d2437a"/>
    <w:pPr>
      <w:spacing w:before="100" w:after="100"/>
    </w:pPr>
    <w:rPr>
      <w:color w:val="000000"/>
      <w:sz w:val="22"/>
      <w:szCs w:val="22"/>
    </w:rPr>
    <w:tblPr>
      <w:tblStyleRowBandSize w:val="1"/>
      <w:tblStyleColBandSize w:val="1"/>
      <w:tblBorders>
        <w:top w:val="single" w:color="F79646" w:sz="8" w:space="0"/>
        <w:bottom w:val="single" w:color="F79646" w:sz="8" w:space="0"/>
      </w:tblBorders>
    </w:tblPr>
    <w:tblStylePr w:type="firstRow">
      <w:rPr/>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d2437a"/>
    <w:pPr>
      <w:spacing w:before="100" w:after="100"/>
    </w:pPr>
    <w:rPr>
      <w:color w:val="000000"/>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d2437a"/>
    <w:pPr>
      <w:spacing w:before="100" w:after="100"/>
    </w:pPr>
    <w:rPr>
      <w:color w:val="000000"/>
      <w:sz w:val="22"/>
      <w:szCs w:val="22"/>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d2437a"/>
    <w:pPr>
      <w:spacing w:before="100" w:after="100"/>
    </w:pPr>
    <w:rPr>
      <w:color w:val="000000"/>
      <w:sz w:val="22"/>
      <w:szCs w:val="22"/>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d2437a"/>
    <w:pPr>
      <w:spacing w:before="100" w:after="100"/>
    </w:pPr>
    <w:rPr>
      <w:color w:val="000000"/>
      <w:sz w:val="22"/>
      <w:szCs w:val="22"/>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d2437a"/>
    <w:pPr>
      <w:spacing w:before="100" w:after="100"/>
    </w:pPr>
    <w:rPr>
      <w:color w:val="000000"/>
      <w:sz w:val="22"/>
      <w:szCs w:val="22"/>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d2437a"/>
    <w:pPr>
      <w:spacing w:before="100" w:after="100"/>
    </w:pPr>
    <w:rPr>
      <w:color w:val="000000"/>
      <w:sz w:val="22"/>
      <w:szCs w:val="22"/>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d2437a"/>
    <w:pPr>
      <w:spacing w:before="100" w:after="100"/>
    </w:pPr>
    <w:rPr>
      <w:color w:val="000000"/>
      <w:sz w:val="22"/>
      <w:szCs w:val="22"/>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d2437a"/>
    <w:pPr>
      <w:spacing w:before="100" w:after="100"/>
    </w:pPr>
    <w:rPr>
      <w:sz w:val="22"/>
      <w:szCs w:val="22"/>
    </w:rPr>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437a"/>
    <w:pPr>
      <w:spacing w:before="100" w:after="100"/>
    </w:pPr>
    <w:rPr>
      <w:sz w:val="22"/>
      <w:szCs w:val="22"/>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2437a"/>
    <w:pPr>
      <w:spacing w:before="100" w:after="100"/>
    </w:pPr>
    <w:rPr>
      <w:sz w:val="22"/>
      <w:szCs w:val="22"/>
    </w:rPr>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2437a"/>
    <w:pPr>
      <w:spacing w:before="100" w:after="100"/>
    </w:pPr>
    <w:rPr>
      <w:sz w:val="22"/>
      <w:szCs w:val="22"/>
    </w:rPr>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437a"/>
    <w:pPr>
      <w:spacing w:before="100" w:after="100"/>
    </w:pPr>
    <w:rPr>
      <w:sz w:val="22"/>
      <w:szCs w:val="22"/>
    </w:rPr>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2437a"/>
    <w:pPr>
      <w:spacing w:before="100" w:after="100"/>
    </w:pPr>
    <w:rPr>
      <w:sz w:val="22"/>
      <w:szCs w:val="22"/>
    </w:rPr>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2437a"/>
    <w:pPr>
      <w:spacing w:before="100" w:after="100"/>
    </w:pPr>
    <w:rPr>
      <w:sz w:val="22"/>
      <w:szCs w:val="22"/>
    </w:rPr>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Table3Deffects1">
    <w:name w:val="Table 3D effects 1"/>
    <w:basedOn w:val="TableNormal"/>
    <w:uiPriority w:val="99"/>
    <w:semiHidden/>
    <w:unhideWhenUsed/>
    <w:rsid w:val="00d2437a"/>
    <w:pPr>
      <w:spacing w:before="80" w:after="80" w:line="240" w:lineRule="atLeast"/>
    </w:pPr>
    <w:rPr>
      <w:sz w:val="22"/>
      <w:szCs w:val="22"/>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2437a"/>
    <w:pPr>
      <w:spacing w:before="80" w:after="80" w:line="240" w:lineRule="atLeast"/>
    </w:pPr>
    <w:rPr>
      <w:sz w:val="22"/>
      <w:szCs w:val="22"/>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2437a"/>
    <w:pPr>
      <w:spacing w:before="80" w:after="80" w:line="240" w:lineRule="atLeast"/>
    </w:pPr>
    <w:rPr>
      <w:sz w:val="22"/>
      <w:szCs w:val="22"/>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2437a"/>
    <w:pPr>
      <w:spacing w:before="80" w:after="80" w:line="240" w:lineRule="atLeast"/>
    </w:pPr>
    <w:rPr>
      <w:sz w:val="22"/>
      <w:szCs w:val="22"/>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2437a"/>
    <w:pPr>
      <w:spacing w:before="80" w:after="80" w:line="240" w:lineRule="atLeast"/>
    </w:pPr>
    <w:rPr>
      <w:color w:val="000080"/>
      <w:sz w:val="22"/>
      <w:szCs w:val="22"/>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2437a"/>
    <w:pPr>
      <w:spacing w:before="80" w:after="80" w:line="240" w:lineRule="atLeast"/>
    </w:pPr>
    <w:rPr>
      <w:sz w:val="22"/>
      <w:szCs w:val="22"/>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2437a"/>
    <w:pPr>
      <w:spacing w:before="80" w:after="80" w:line="240" w:lineRule="atLeast"/>
    </w:pPr>
    <w:rPr>
      <w:color w:val="FFFFFF"/>
      <w:sz w:val="22"/>
      <w:szCs w:val="22"/>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2437a"/>
    <w:pPr>
      <w:spacing w:before="80" w:after="80" w:line="240" w:lineRule="atLeast"/>
    </w:pPr>
    <w:rPr>
      <w:sz w:val="22"/>
      <w:szCs w:val="22"/>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2437a"/>
    <w:pPr>
      <w:spacing w:before="80" w:after="80" w:line="240" w:lineRule="atLeast"/>
    </w:pPr>
    <w:rPr>
      <w:sz w:val="22"/>
      <w:szCs w:val="22"/>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2437a"/>
    <w:pPr>
      <w:spacing w:before="80" w:after="80" w:line="240" w:lineRule="atLeast"/>
    </w:pPr>
    <w:rPr>
      <w:b/>
      <w:bCs/>
      <w:sz w:val="22"/>
      <w:szCs w:val="22"/>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2437a"/>
    <w:pPr>
      <w:spacing w:before="80" w:after="80" w:line="240" w:lineRule="atLeast"/>
    </w:pPr>
    <w:rPr>
      <w:b/>
      <w:bCs/>
      <w:sz w:val="22"/>
      <w:szCs w:val="22"/>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2437a"/>
    <w:pPr>
      <w:spacing w:before="80" w:after="80" w:line="240" w:lineRule="atLeast"/>
    </w:pPr>
    <w:rPr>
      <w:b/>
      <w:bCs/>
      <w:sz w:val="22"/>
      <w:szCs w:val="22"/>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2437a"/>
    <w:pPr>
      <w:spacing w:before="80" w:after="80" w:line="240" w:lineRule="atLeast"/>
    </w:pPr>
    <w:rPr>
      <w:sz w:val="22"/>
      <w:szCs w:val="22"/>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2437a"/>
    <w:pPr>
      <w:spacing w:before="80" w:after="80" w:line="240" w:lineRule="atLeast"/>
    </w:pPr>
    <w:rPr>
      <w:sz w:val="22"/>
      <w:szCs w:val="22"/>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d2437a"/>
    <w:pPr>
      <w:spacing w:before="80" w:after="80" w:line="240" w:lineRule="atLeast"/>
    </w:pPr>
    <w:rPr>
      <w:sz w:val="22"/>
      <w:szCs w:val="22"/>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2437a"/>
    <w:pPr>
      <w:spacing w:before="80" w:after="80" w:line="240" w:lineRule="atLeast"/>
    </w:pPr>
    <w:rPr>
      <w:sz w:val="22"/>
      <w:szCs w:val="22"/>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Grid"/>
    <w:uiPriority w:val="99"/>
    <w:rsid w:val="00d2437a"/>
    <w:pPr>
      <w:spacing w:before="100" w:after="100"/>
    </w:pPr>
    <w:tblPr>
      <w:tblBorders>
        <w:top w:val="single" w:color="000000" w:sz="2" w:space="0"/>
        <w:bottom w:val="single" w:color="000000" w:sz="2" w:space="0"/>
        <w:insideH w:val="single" w:color="000000" w:sz="2" w:space="0"/>
      </w:tblBorders>
    </w:tblPr>
    <w:tcPr>
      <w:shd w:val="clear" w:color="auto" w:fill="auto"/>
    </w:tcPr>
    <w:tblStylePr w:type="firstRow">
      <w:pPr>
        <w:wordWrap/>
        <w:ind w:right="0" w:rightChars="0"/>
        <w:spacing w:beforeLines="0" w:afterLines="0" w:line="240" w:lineRule="auto"/>
        <w:jc w:val="left"/>
      </w:pPr>
      <w:rPr>
        <w:b w:val="0"/>
        <w:i w:val="0"/>
        <w:caps w:val="0"/>
        <w:smallCaps w:val="0"/>
        <w:color w:val="auto"/>
        <w:sz w:val="24"/>
      </w:rPr>
      <w:tblPr/>
      <w:tcPr>
        <w:tcBorders>
          <w:top w:val="single" w:color="auto" w:sz="2" w:space="0"/>
          <w:left w:val="nil"/>
          <w:bottom w:val="single" w:color="auto" w:sz="2" w:space="0"/>
          <w:right w:val="nil"/>
          <w:insideH w:val="nil"/>
          <w:insideV w:val="nil"/>
          <w:tl2br w:val="nil"/>
          <w:tr2bl w:val="nil"/>
        </w:tcBorders>
        <w:shd w:val="clear" w:color="auto" w:fill="D9D9D9"/>
      </w:tcPr>
    </w:tblStylePr>
    <w:tblStylePr w:type="lastRow">
      <w:rPr>
        <w:i w:val="0"/>
      </w:rPr>
      <w:tblPr/>
      <w:tcPr>
        <w:tcBorders>
          <w:bottom w:val="single" w:color="660B68" w:sz="12" w:space="0"/>
          <w:tl2br w:val="none" w:color="auto" w:sz="0" w:space="0"/>
          <w:tr2bl w:val="none" w:color="auto" w:sz="0" w:space="0"/>
        </w:tcBorders>
      </w:tcPr>
    </w:tblStylePr>
    <w:tblStylePr w:type="firstCol">
      <w:rPr>
        <w:b/>
        <w:color w:val="auto"/>
      </w:rPr>
      <w:tblPr/>
      <w:tcPr>
        <w:shd w:val="clear" w:color="auto" w:fill="E6E6E6"/>
      </w:tcPr>
    </w:tblStylePr>
    <w:tblStylePr w:type="lastCol">
      <w:rPr>
        <w:i w:val="0"/>
      </w:rPr>
      <w:tblPr/>
      <w:tcPr>
        <w:tcBorders>
          <w:tl2br w:val="none" w:color="auto" w:sz="0" w:space="0"/>
          <w:tr2bl w:val="none" w:color="auto" w:sz="0" w:space="0"/>
        </w:tcBorders>
      </w:tcPr>
    </w:tblStylePr>
    <w:tblStylePr w:type="band1Horz">
      <w:tblPr/>
      <w:tcPr>
        <w:shd w:val="clear" w:color="auto" w:fill="FFFFFF" w:themeFill="background1"/>
      </w:tcPr>
    </w:tblStylePr>
    <w:tblStylePr w:type="band2Horz">
      <w:tblPr/>
      <w:tcPr>
        <w:shd w:val="clear" w:color="auto" w:fill="F2F2F2" w:themeFill="background1" w:themeFillShade="f2"/>
      </w:tcPr>
    </w:tblStylePr>
    <w:tblStylePr w:type="nwCell">
      <w:rPr>
        <w:b/>
      </w:rPr>
      <w:tblPr/>
    </w:tblStylePr>
  </w:style>
  <w:style w:type="table" w:styleId="TableGrid3">
    <w:name w:val="Table Grid 3"/>
    <w:basedOn w:val="TableNormal"/>
    <w:uiPriority w:val="99"/>
    <w:semiHidden/>
    <w:unhideWhenUsed/>
    <w:rsid w:val="00d2437a"/>
    <w:pPr>
      <w:spacing w:before="80" w:after="80" w:line="240" w:lineRule="atLeast"/>
    </w:pPr>
    <w:rPr>
      <w:sz w:val="22"/>
      <w:szCs w:val="22"/>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2437a"/>
    <w:pPr>
      <w:spacing w:before="80" w:after="80" w:line="240" w:lineRule="atLeast"/>
    </w:pPr>
    <w:rPr>
      <w:sz w:val="22"/>
      <w:szCs w:val="22"/>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2437a"/>
    <w:pPr>
      <w:spacing w:before="80" w:after="80" w:line="240" w:lineRule="atLeast"/>
    </w:pPr>
    <w:rPr>
      <w:sz w:val="22"/>
      <w:szCs w:val="22"/>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2437a"/>
    <w:pPr>
      <w:spacing w:before="80" w:after="80" w:line="240" w:lineRule="atLeast"/>
    </w:pPr>
    <w:rPr>
      <w:sz w:val="22"/>
      <w:szCs w:val="22"/>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2437a"/>
    <w:pPr>
      <w:spacing w:before="80" w:after="80" w:line="240" w:lineRule="atLeast"/>
    </w:pPr>
    <w:rPr>
      <w:b/>
      <w:bCs/>
      <w:sz w:val="22"/>
      <w:szCs w:val="22"/>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2437a"/>
    <w:pPr>
      <w:spacing w:before="80" w:after="80" w:line="240" w:lineRule="atLeast"/>
    </w:pPr>
    <w:rPr>
      <w:sz w:val="22"/>
      <w:szCs w:val="22"/>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d2437a"/>
    <w:pPr>
      <w:spacing w:before="80" w:after="80" w:line="240" w:lineRule="atLeast"/>
    </w:pPr>
    <w:rPr>
      <w:sz w:val="22"/>
      <w:szCs w:val="22"/>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2437a"/>
    <w:pPr>
      <w:spacing w:before="80" w:after="80" w:line="240" w:lineRule="atLeast"/>
    </w:pPr>
    <w:rPr>
      <w:sz w:val="22"/>
      <w:szCs w:val="22"/>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2437a"/>
    <w:pPr>
      <w:spacing w:before="80" w:after="80" w:line="240" w:lineRule="atLeast"/>
    </w:pPr>
    <w:rPr>
      <w:sz w:val="22"/>
      <w:szCs w:val="22"/>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2437a"/>
    <w:pPr>
      <w:spacing w:before="80" w:after="80" w:line="240" w:lineRule="atLeast"/>
    </w:pPr>
    <w:rPr>
      <w:sz w:val="22"/>
      <w:szCs w:val="22"/>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2437a"/>
    <w:pPr>
      <w:spacing w:before="80" w:after="80" w:line="240" w:lineRule="atLeast"/>
    </w:pPr>
    <w:rPr>
      <w:sz w:val="22"/>
      <w:szCs w:val="22"/>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2437a"/>
    <w:pPr>
      <w:spacing w:before="80" w:after="80" w:line="240" w:lineRule="atLeast"/>
    </w:pPr>
    <w:rPr>
      <w:sz w:val="22"/>
      <w:szCs w:val="22"/>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2437a"/>
    <w:pPr>
      <w:spacing w:before="80" w:after="80" w:line="240" w:lineRule="atLeast"/>
    </w:pPr>
    <w:rPr>
      <w:sz w:val="22"/>
      <w:szCs w:val="22"/>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2437a"/>
    <w:pPr>
      <w:spacing w:before="80" w:after="80" w:line="240" w:lineRule="atLeast"/>
    </w:pPr>
    <w:rPr>
      <w:sz w:val="22"/>
      <w:szCs w:val="22"/>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d2437a"/>
    <w:pPr>
      <w:spacing w:before="80" w:after="80" w:line="240" w:lineRule="atLeast"/>
    </w:pPr>
    <w:rPr>
      <w:sz w:val="22"/>
      <w:szCs w:val="22"/>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2437a"/>
    <w:pPr>
      <w:spacing w:before="80" w:after="80" w:line="240" w:lineRule="atLeast"/>
    </w:pPr>
    <w:rPr>
      <w:sz w:val="22"/>
      <w:szCs w:val="22"/>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2437a"/>
    <w:pPr>
      <w:spacing w:before="80" w:after="80" w:line="240" w:lineRule="atLeast"/>
    </w:pPr>
    <w:rPr>
      <w:sz w:val="22"/>
      <w:szCs w:val="22"/>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2437a"/>
    <w:pPr>
      <w:spacing w:before="80" w:after="80" w:line="240" w:lineRule="atLeast"/>
    </w:pPr>
    <w:rPr>
      <w:sz w:val="22"/>
      <w:szCs w:val="22"/>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2437a"/>
    <w:pPr>
      <w:spacing w:before="80" w:after="80" w:line="240" w:lineRule="atLeast"/>
    </w:pPr>
    <w:rPr>
      <w:sz w:val="22"/>
      <w:szCs w:val="22"/>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d2437a"/>
    <w:pPr>
      <w:spacing w:before="80" w:after="80" w:line="240" w:lineRule="atLeast"/>
    </w:pPr>
    <w:rPr>
      <w:sz w:val="22"/>
      <w:szCs w:val="22"/>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2437a"/>
    <w:pPr>
      <w:spacing w:before="80" w:after="80" w:line="240" w:lineRule="atLeast"/>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2437a"/>
    <w:pPr>
      <w:spacing w:before="80" w:after="80" w:line="240" w:lineRule="atLeast"/>
    </w:pPr>
    <w:rPr>
      <w:sz w:val="22"/>
      <w:szCs w:val="22"/>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2437a"/>
    <w:pPr>
      <w:spacing w:before="80" w:after="80" w:line="240" w:lineRule="atLeast"/>
    </w:pPr>
    <w:rPr>
      <w:sz w:val="22"/>
      <w:szCs w:val="22"/>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d2437a"/>
    <w:pPr>
      <w:spacing w:before="80" w:after="80" w:line="240" w:lineRule="atLeast"/>
    </w:pPr>
    <w:rPr>
      <w:sz w:val="22"/>
      <w:szCs w:val="22"/>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customStyle="1" w:styleId="ColorfulGrid1">
    <w:name w:val="Colorful Grid1"/>
    <w:basedOn w:val="TableNormal"/>
    <w:semiHidden/>
    <w:rsid w:val="00d2437a"/>
    <w:pPr>
      <w:spacing w:before="100" w:after="100"/>
    </w:pPr>
    <w:rPr>
      <w:color w:val="000000"/>
      <w:sz w:val="22"/>
      <w:szCs w:val="22"/>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semiHidden/>
    <w:rsid w:val="00d2437a"/>
    <w:pPr>
      <w:spacing w:before="100" w:after="100"/>
    </w:pPr>
    <w:rPr>
      <w:color w:val="000000"/>
      <w:sz w:val="22"/>
      <w:szCs w:val="22"/>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F3B38"/>
      </w:tcPr>
    </w:tblStylePr>
    <w:tblStylePr w:type="lastRow">
      <w:rPr>
        <w:b/>
        <w:bCs/>
        <w:color w:val="9F3B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FBFBF"/>
      </w:tcPr>
    </w:tblStylePr>
    <w:tblStylePr w:type="band1Horz">
      <w:tblPr/>
      <w:tcPr>
        <w:shd w:val="clear" w:color="auto" w:fill="CCCCCC"/>
      </w:tcPr>
    </w:tblStylePr>
  </w:style>
  <w:style w:type="table" w:customStyle="1" w:styleId="ColorfulShading1">
    <w:name w:val="Colorful Shading1"/>
    <w:basedOn w:val="TableNormal"/>
    <w:semiHidden/>
    <w:rsid w:val="00d2437a"/>
    <w:pPr>
      <w:spacing w:before="100" w:after="100"/>
    </w:pPr>
    <w:rPr>
      <w:color w:val="000000"/>
      <w:sz w:val="22"/>
      <w:szCs w:val="22"/>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customStyle="1" w:styleId="DarkList1">
    <w:name w:val="Dark List1"/>
    <w:basedOn w:val="TableNormal"/>
    <w:semiHidden/>
    <w:rsid w:val="00d2437a"/>
    <w:pPr>
      <w:spacing w:before="100" w:after="100"/>
    </w:pPr>
    <w:rPr>
      <w:color w:val="FFFFFF"/>
      <w:sz w:val="22"/>
      <w:szCs w:val="22"/>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Accent11">
    <w:name w:val="Light Grid - Accent 11"/>
    <w:basedOn w:val="TableNormal"/>
    <w:semiHidden/>
    <w:rsid w:val="00d2437a"/>
    <w:pPr>
      <w:spacing w:before="100" w:after="100"/>
    </w:pPr>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E0EF"/>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E0EF"/>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customStyle="1" w:styleId="LightGrid1">
    <w:name w:val="Light Grid1"/>
    <w:basedOn w:val="TableNormal"/>
    <w:semiHidden/>
    <w:rsid w:val="00d2437a"/>
    <w:pPr>
      <w:spacing w:before="100" w:after="100"/>
    </w:pPr>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BFBFBF"/>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BFBFBF"/>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customStyle="1" w:styleId="LightList-Accent11">
    <w:name w:val="Light List - Accent 11"/>
    <w:basedOn w:val="TableNormal"/>
    <w:semiHidden/>
    <w:rsid w:val="00d2437a"/>
    <w:pPr>
      <w:spacing w:before="100" w:after="100"/>
    </w:pPr>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ightList1">
    <w:name w:val="Light List1"/>
    <w:basedOn w:val="TableNormal"/>
    <w:semiHidden/>
    <w:rsid w:val="00d2437a"/>
    <w:pPr>
      <w:spacing w:before="100" w:after="100"/>
    </w:pPr>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customStyle="1" w:styleId="LightShading-Accent11">
    <w:name w:val="Light Shading - Accent 11"/>
    <w:basedOn w:val="TableNormal"/>
    <w:semiHidden/>
    <w:rsid w:val="00d2437a"/>
    <w:pPr>
      <w:spacing w:before="100" w:after="100"/>
    </w:pPr>
    <w:rPr>
      <w:color w:val="376092"/>
      <w:sz w:val="22"/>
      <w:szCs w:val="22"/>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table" w:customStyle="1" w:styleId="LightShading1">
    <w:name w:val="Light Shading1"/>
    <w:basedOn w:val="TableNormal"/>
    <w:semiHidden/>
    <w:rsid w:val="00d2437a"/>
    <w:pPr>
      <w:spacing w:before="100" w:after="100"/>
    </w:pPr>
    <w:rPr>
      <w:color w:val="000000"/>
      <w:sz w:val="22"/>
      <w:szCs w:val="22"/>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FBFBF"/>
      </w:tcPr>
    </w:tblStylePr>
    <w:tblStylePr w:type="band1Horz">
      <w:tblPr/>
      <w:tcPr>
        <w:tcBorders>
          <w:left w:val="nil"/>
          <w:right w:val="nil"/>
          <w:insideH w:val="nil"/>
          <w:insideV w:val="nil"/>
        </w:tcBorders>
        <w:shd w:val="clear" w:color="auto" w:fill="BFBFBF"/>
      </w:tcPr>
    </w:tblStylePr>
  </w:style>
  <w:style w:type="table" w:customStyle="1" w:styleId="MediumGrid11">
    <w:name w:val="Medium Grid 11"/>
    <w:basedOn w:val="TableNormal"/>
    <w:semiHidden/>
    <w:rsid w:val="00d2437a"/>
    <w:pPr>
      <w:spacing w:before="100" w:after="100"/>
    </w:pPr>
    <w:rPr>
      <w:sz w:val="22"/>
      <w:szCs w:val="22"/>
    </w:rPr>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BFBFBF"/>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customStyle="1" w:styleId="MediumGrid21">
    <w:name w:val="Medium Grid 21"/>
    <w:basedOn w:val="TableNormal"/>
    <w:semiHidden/>
    <w:rsid w:val="00d2437a"/>
    <w:pPr>
      <w:spacing w:before="100" w:after="100"/>
    </w:pPr>
    <w:rPr>
      <w:color w:val="000000"/>
      <w:sz w:val="22"/>
      <w:szCs w:val="22"/>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BFBFBF"/>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customStyle="1" w:styleId="MediumGrid31">
    <w:name w:val="Medium Grid 31"/>
    <w:basedOn w:val="TableNormal"/>
    <w:semiHidden/>
    <w:rsid w:val="00d2437a"/>
    <w:pPr>
      <w:spacing w:before="100" w:after="100"/>
    </w:pPr>
    <w:rPr>
      <w:sz w:val="22"/>
      <w:szCs w:val="22"/>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BFBFBF"/>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customStyle="1" w:styleId="MediumList1-Accent11">
    <w:name w:val="Medium List 1 - Accent 11"/>
    <w:basedOn w:val="TableNormal"/>
    <w:semiHidden/>
    <w:rsid w:val="00d2437a"/>
    <w:pPr>
      <w:spacing w:before="100" w:after="100"/>
    </w:pPr>
    <w:rPr>
      <w:color w:val="000000"/>
      <w:sz w:val="22"/>
      <w:szCs w:val="22"/>
    </w:rPr>
    <w:tblPr>
      <w:tblStyleRowBandSize w:val="1"/>
      <w:tblStyleColBandSize w:val="1"/>
      <w:tblBorders>
        <w:top w:val="single" w:color="4F81BD" w:sz="8" w:space="0"/>
        <w:bottom w:val="single" w:color="4F81BD" w:sz="8" w:space="0"/>
      </w:tblBorders>
    </w:tblPr>
    <w:tblStylePr w:type="firstRow">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E0EF"/>
      </w:tcPr>
    </w:tblStylePr>
    <w:tblStylePr w:type="band1Horz">
      <w:tblPr/>
      <w:tcPr>
        <w:shd w:val="clear" w:color="auto" w:fill="D3E0EF"/>
      </w:tcPr>
    </w:tblStylePr>
  </w:style>
  <w:style w:type="table" w:customStyle="1" w:styleId="MediumList11">
    <w:name w:val="Medium List 11"/>
    <w:basedOn w:val="TableNormal"/>
    <w:semiHidden/>
    <w:rsid w:val="00d2437a"/>
    <w:pPr>
      <w:spacing w:before="100" w:after="100"/>
    </w:pPr>
    <w:rPr>
      <w:color w:val="000000"/>
      <w:sz w:val="22"/>
      <w:szCs w:val="22"/>
    </w:rPr>
    <w:tblPr>
      <w:tblStyleRowBandSize w:val="1"/>
      <w:tblStyleColBandSize w:val="1"/>
      <w:tblBorders>
        <w:top w:val="single" w:color="000000" w:sz="8" w:space="0"/>
        <w:bottom w:val="single" w:color="000000" w:sz="8" w:space="0"/>
      </w:tblBorders>
    </w:tblPr>
    <w:tblStylePr w:type="firstRow">
      <w:rPr/>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BFBFBF"/>
      </w:tcPr>
    </w:tblStylePr>
    <w:tblStylePr w:type="band1Horz">
      <w:tblPr/>
      <w:tcPr>
        <w:shd w:val="clear" w:color="auto" w:fill="BFBFBF"/>
      </w:tcPr>
    </w:tblStylePr>
  </w:style>
  <w:style w:type="table" w:customStyle="1" w:styleId="MediumList21">
    <w:name w:val="Medium List 21"/>
    <w:basedOn w:val="TableNormal"/>
    <w:semiHidden/>
    <w:rsid w:val="00d2437a"/>
    <w:pPr>
      <w:spacing w:before="100" w:after="100"/>
    </w:pPr>
    <w:rPr>
      <w:color w:val="000000"/>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FBFBF"/>
      </w:tcPr>
    </w:tblStylePr>
    <w:tblStylePr w:type="band1Horz">
      <w:tblPr/>
      <w:tcPr>
        <w:tcBorders>
          <w:top w:val="nil"/>
          <w:bottom w:val="nil"/>
          <w:insideH w:val="nil"/>
          <w:insideV w:val="nil"/>
        </w:tcBorders>
        <w:shd w:val="clear" w:color="auto" w:fill="BFBFBF"/>
      </w:tcPr>
    </w:tblStylePr>
    <w:tblStylePr w:type="nwCell">
      <w:tblPr/>
      <w:tcPr>
        <w:shd w:val="clear" w:color="auto" w:fill="FFFFFF"/>
      </w:tcPr>
    </w:tblStylePr>
    <w:tblStylePr w:type="swCell">
      <w:tblPr/>
      <w:tcPr>
        <w:tcBorders>
          <w:top w:val="nil"/>
        </w:tcBorders>
      </w:tcPr>
    </w:tblStylePr>
  </w:style>
  <w:style w:type="table" w:customStyle="1" w:styleId="MediumShading1-Accent11">
    <w:name w:val="Medium Shading 1 - Accent 11"/>
    <w:basedOn w:val="TableNormal"/>
    <w:semiHidden/>
    <w:rsid w:val="00d2437a"/>
    <w:pPr>
      <w:spacing w:before="100" w:after="100"/>
    </w:pPr>
    <w:rPr>
      <w:sz w:val="22"/>
      <w:szCs w:val="22"/>
    </w:rPr>
    <w:tblPr>
      <w:tblStyleRowBandSize w:val="1"/>
      <w:tblStyleColBandSize w:val="1"/>
      <w:tblBorders>
        <w:top w:val="single" w:color="7BA1CE" w:sz="8" w:space="0"/>
        <w:left w:val="single" w:color="7BA1CE" w:sz="8" w:space="0"/>
        <w:bottom w:val="single" w:color="7BA1CE" w:sz="8" w:space="0"/>
        <w:right w:val="single" w:color="7BA1CE" w:sz="8" w:space="0"/>
        <w:insideH w:val="single" w:color="7BA1CE" w:sz="8" w:space="0"/>
      </w:tblBorders>
    </w:tblPr>
    <w:tblStylePr w:type="firstRow">
      <w:pPr>
        <w:spacing w:before="0" w:after="0" w:line="240" w:lineRule="auto"/>
      </w:pPr>
      <w:rPr>
        <w:b/>
        <w:bCs/>
        <w:color w:val="FFFFFF"/>
      </w:rPr>
      <w:tblPr/>
      <w:tcPr>
        <w:tcBorders>
          <w:top w:val="single" w:color="7BA1CE" w:sz="8" w:space="0"/>
          <w:left w:val="single" w:color="7BA1CE" w:sz="8" w:space="0"/>
          <w:bottom w:val="single" w:color="7BA1CE" w:sz="8" w:space="0"/>
          <w:right w:val="single" w:color="7BA1CE" w:sz="8" w:space="0"/>
          <w:insideH w:val="nil"/>
          <w:insideV w:val="nil"/>
        </w:tcBorders>
        <w:shd w:val="clear" w:color="auto" w:fill="4F81BD"/>
      </w:tcPr>
    </w:tblStylePr>
    <w:tblStylePr w:type="lastRow">
      <w:pPr>
        <w:spacing w:before="0" w:after="0" w:line="240" w:lineRule="auto"/>
      </w:pPr>
      <w:rPr>
        <w:b/>
        <w:bCs/>
      </w:rPr>
      <w:tblPr/>
      <w:tcPr>
        <w:tcBorders>
          <w:top w:val="double" w:color="7BA1CE" w:sz="6" w:space="0"/>
          <w:left w:val="single" w:color="7BA1CE" w:sz="8" w:space="0"/>
          <w:bottom w:val="single" w:color="7BA1CE" w:sz="8" w:space="0"/>
          <w:right w:val="single" w:color="7BA1CE" w:sz="8" w:space="0"/>
          <w:insideH w:val="nil"/>
          <w:insideV w:val="nil"/>
        </w:tcBorders>
      </w:tcPr>
    </w:tblStylePr>
    <w:tblStylePr w:type="firstCol">
      <w:rPr>
        <w:b/>
        <w:bCs/>
      </w:rPr>
      <w:tblPr/>
    </w:tblStylePr>
    <w:tblStylePr w:type="lastCol">
      <w:rPr>
        <w:b/>
        <w:bCs/>
      </w:rPr>
      <w:tblPr/>
    </w:tblStylePr>
    <w:tblStylePr w:type="band1Vert">
      <w:tblPr/>
      <w:tcPr>
        <w:shd w:val="clear" w:color="auto" w:fill="D3E0EF"/>
      </w:tcPr>
    </w:tblStylePr>
    <w:tblStylePr w:type="band1Horz">
      <w:tblPr/>
      <w:tcPr>
        <w:tcBorders>
          <w:insideH w:val="nil"/>
          <w:insideV w:val="nil"/>
        </w:tcBorders>
        <w:shd w:val="clear" w:color="auto" w:fill="D3E0EF"/>
      </w:tcPr>
    </w:tblStylePr>
    <w:tblStylePr w:type="band2Horz">
      <w:tblPr/>
      <w:tcPr>
        <w:tcBorders>
          <w:insideH w:val="nil"/>
          <w:insideV w:val="nil"/>
        </w:tcBorders>
      </w:tcPr>
    </w:tblStylePr>
  </w:style>
  <w:style w:type="table" w:customStyle="1" w:styleId="MediumShading11">
    <w:name w:val="Medium Shading 11"/>
    <w:basedOn w:val="TableNormal"/>
    <w:semiHidden/>
    <w:rsid w:val="00d2437a"/>
    <w:pPr>
      <w:spacing w:before="100" w:after="100"/>
    </w:pPr>
    <w:rPr>
      <w:sz w:val="22"/>
      <w:szCs w:val="22"/>
    </w:rPr>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2-Accent11">
    <w:name w:val="Medium Shading 2 - Accent 11"/>
    <w:basedOn w:val="TableNormal"/>
    <w:semiHidden/>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1">
    <w:name w:val="Medium Shading 21"/>
    <w:basedOn w:val="TableNormal"/>
    <w:semiHidden/>
    <w:rsid w:val="00d2437a"/>
    <w:pPr>
      <w:spacing w:before="100" w:after="100"/>
    </w:pPr>
    <w:rPr>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yperlink" Target="http://creativecommons.org/licenses/by/3.0/au/" TargetMode="External"/><Relationship Id="rId9" Type="http://schemas.openxmlformats.org/officeDocument/2006/relationships/image" Target="media/image3.png"/><Relationship Id="rId10" Type="http://schemas.openxmlformats.org/officeDocument/2006/relationships/hyperlink" Target="http://creativecommons.org/licenses/by/4.0/" TargetMode="External"/><Relationship Id="rId11" Type="http://schemas.openxmlformats.org/officeDocument/2006/relationships/hyperlink" Target="mailto:IPpolicy@dtf.vic.gov.au"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TF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KapishFilenameToUriMappings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4C641-0BC2-422E-961F-D8EC8ADF0C12}">
  <ds:schemaRefs>
    <ds:schemaRef ds:uri="http://www.w3.org/2001/XMLSchema"/>
  </ds:schemaRefs>
</ds:datastoreItem>
</file>

<file path=customXml/itemProps2.xml><?xml version="1.0" encoding="utf-8"?>
<ds:datastoreItem xmlns:ds="http://schemas.openxmlformats.org/officeDocument/2006/customXml" ds:itemID="{EC087005-47CD-4DCB-8619-0C02CA68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LibreOffice/6.4.7.2$Linux_X86_64 LibreOffice_project/40$Build-2</Application>
  <Pages>16</Pages>
  <Words>5557</Words>
  <Characters>28789</Characters>
  <CharactersWithSpaces>33957</CharactersWithSpaces>
  <Paragraphs>255</Paragraphs>
  <Company>Chrysalis Design Pty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2021-03-09T05:53:00Z</dcterms:created>
  <dc:creator>Julie Marsal</dc:creator>
  <dc:description/>
  <dc:language>en-AU</dc:language>
  <cp:lastModifiedBy>Meredith Anderson (DTF)</cp:lastModifiedBy>
  <cp:lastPrinted>2017-08-31T07:06:00Z</cp:lastPrinted>
  <dcterms:modified xsi:type="dcterms:W3CDTF">2021-05-12T05:22:00Z</dcterms:modified>
  <cp:revision>11</cp:revision>
  <dc:subject>Indemnities and immunities</dc:subject>
  <dc:title>Company policy and guidelines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Chrysalis Design Pty Limited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7158ebbd-6c5e-441f-bfc9-4eb8c11e3978_ActionId">
    <vt:lpwstr>78357f8d-7214-474f-94db-43cb7d9b1938</vt:lpwstr>
  </property>
  <property fmtid="{D5CDD505-2E9C-101B-9397-08002B2CF9AE}" pid="8" name="MSIP_Label_7158ebbd-6c5e-441f-bfc9-4eb8c11e3978_ContentBits">
    <vt:lpwstr>2</vt:lpwstr>
  </property>
  <property fmtid="{D5CDD505-2E9C-101B-9397-08002B2CF9AE}" pid="9" name="MSIP_Label_7158ebbd-6c5e-441f-bfc9-4eb8c11e3978_Enabled">
    <vt:lpwstr>true</vt:lpwstr>
  </property>
  <property fmtid="{D5CDD505-2E9C-101B-9397-08002B2CF9AE}" pid="10" name="MSIP_Label_7158ebbd-6c5e-441f-bfc9-4eb8c11e3978_Method">
    <vt:lpwstr>Privileged</vt:lpwstr>
  </property>
  <property fmtid="{D5CDD505-2E9C-101B-9397-08002B2CF9AE}" pid="11" name="MSIP_Label_7158ebbd-6c5e-441f-bfc9-4eb8c11e3978_Name">
    <vt:lpwstr>7158ebbd-6c5e-441f-bfc9-4eb8c11e3978</vt:lpwstr>
  </property>
  <property fmtid="{D5CDD505-2E9C-101B-9397-08002B2CF9AE}" pid="12" name="MSIP_Label_7158ebbd-6c5e-441f-bfc9-4eb8c11e3978_SetDate">
    <vt:lpwstr>2021-05-12T05:22:10Z</vt:lpwstr>
  </property>
  <property fmtid="{D5CDD505-2E9C-101B-9397-08002B2CF9AE}" pid="13" name="MSIP_Label_7158ebbd-6c5e-441f-bfc9-4eb8c11e3978_SiteId">
    <vt:lpwstr>722ea0be-3e1c-4b11-ad6f-9401d6856e24</vt:lpwstr>
  </property>
  <property fmtid="{D5CDD505-2E9C-101B-9397-08002B2CF9AE}" pid="14" name="PSPFClassification">
    <vt:lpwstr>Do Not Mark</vt:lpwstr>
  </property>
  <property fmtid="{D5CDD505-2E9C-101B-9397-08002B2CF9AE}" pid="15" name="Plato EditorId">
    <vt:lpwstr>28871077-9ede-4b7d-bfd6-13ecd8930d68</vt:lpwstr>
  </property>
  <property fmtid="{D5CDD505-2E9C-101B-9397-08002B2CF9AE}" pid="16" name="ScaleCrop">
    <vt:bool>0</vt:bool>
  </property>
  <property fmtid="{D5CDD505-2E9C-101B-9397-08002B2CF9AE}" pid="17" name="ShareDoc">
    <vt:bool>0</vt:bool>
  </property>
  <property fmtid="{D5CDD505-2E9C-101B-9397-08002B2CF9AE}" pid="18" name="ShowLogos">
    <vt:bool>0</vt:bool>
  </property>
  <property fmtid="{D5CDD505-2E9C-101B-9397-08002B2CF9AE}" pid="19" name="ShowLongPath">
    <vt:bool>0</vt:bool>
  </property>
  <property fmtid="{D5CDD505-2E9C-101B-9397-08002B2CF9AE}" pid="20" name="SmallMargins">
    <vt:bool>1</vt:bool>
  </property>
  <property fmtid="{D5CDD505-2E9C-101B-9397-08002B2CF9AE}" pid="21" name="TitusGUID">
    <vt:lpwstr>296e3c5e-dcf8-4ffc-a9c8-285a688f7dd8</vt:lpwstr>
  </property>
  <property fmtid="{D5CDD505-2E9C-101B-9397-08002B2CF9AE}" pid="22" name="category">
    <vt:lpwstr>Doc No</vt:lpwstr>
  </property>
</Properties>
</file>