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Synopsis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investment decision analysis compares the stock performance of The Coca-Cola Company and PepsiCo in order to evaluate which company may represent a more attractive investment opportunity. The dataset consists of weekly stock data collected over a one-year period from February 3, 2025 to February 3, 2026.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analysis focuses on the closing stock prices of both companies. Over the observed period, the </w:t>
      </w:r>
      <w:r w:rsidDel="00000000" w:rsidR="00000000" w:rsidRPr="00000000">
        <w:rPr>
          <w:b w:val="1"/>
          <w:bCs w:val="1"/>
          <w:rtl w:val="0"/>
        </w:rPr>
        <w:t xml:space="preserve">mean closing price</w:t>
      </w:r>
      <w:r w:rsidDel="00000000" w:rsidR="00000000" w:rsidRPr="00000000">
        <w:rPr>
          <w:rtl w:val="0"/>
        </w:rPr>
        <w:t xml:space="preserve"> for Coca-Cola was approximately </w:t>
      </w:r>
      <w:r w:rsidDel="00000000" w:rsidR="00000000" w:rsidRPr="00000000">
        <w:rPr>
          <w:b w:val="1"/>
          <w:bCs w:val="1"/>
          <w:rtl w:val="0"/>
        </w:rPr>
        <w:t xml:space="preserve">$70.16</w:t>
      </w:r>
      <w:r w:rsidDel="00000000" w:rsidR="00000000" w:rsidRPr="00000000">
        <w:rPr>
          <w:rtl w:val="0"/>
        </w:rPr>
        <w:t xml:space="preserve">, while PepsiCo showed a significantly higher mean closing price of </w:t>
      </w:r>
      <w:r w:rsidDel="00000000" w:rsidR="00000000" w:rsidRPr="00000000">
        <w:rPr>
          <w:b w:val="1"/>
          <w:bCs w:val="1"/>
          <w:rtl w:val="0"/>
        </w:rPr>
        <w:t xml:space="preserve">$143.35</w:t>
      </w:r>
      <w:r w:rsidDel="00000000" w:rsidR="00000000" w:rsidRPr="00000000">
        <w:rPr>
          <w:rtl w:val="0"/>
        </w:rPr>
        <w:t xml:space="preserve">. Although PepsiCo’s stock price level is higher, price alone does not indicate investment attractiveness and must be evaluated together with volatility.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measure risk, the </w:t>
      </w:r>
      <w:r w:rsidDel="00000000" w:rsidR="00000000" w:rsidRPr="00000000">
        <w:rPr>
          <w:b w:val="1"/>
          <w:bCs w:val="1"/>
          <w:rtl w:val="0"/>
        </w:rPr>
        <w:t xml:space="preserve">standard deviation</w:t>
      </w:r>
      <w:r w:rsidDel="00000000" w:rsidR="00000000" w:rsidRPr="00000000">
        <w:rPr>
          <w:rtl w:val="0"/>
        </w:rPr>
        <w:t xml:space="preserve"> of the closing prices was calculated. Coca-Cola showed a standard deviation of </w:t>
      </w:r>
      <w:r w:rsidDel="00000000" w:rsidR="00000000" w:rsidRPr="00000000">
        <w:rPr>
          <w:b w:val="1"/>
          <w:bCs w:val="1"/>
          <w:rtl w:val="0"/>
        </w:rPr>
        <w:t xml:space="preserve">2.12</w:t>
      </w:r>
      <w:r w:rsidDel="00000000" w:rsidR="00000000" w:rsidRPr="00000000">
        <w:rPr>
          <w:rtl w:val="0"/>
        </w:rPr>
        <w:t xml:space="preserve">, while PepsiCo demonstrated a higher standard deviation of </w:t>
      </w:r>
      <w:r w:rsidDel="00000000" w:rsidR="00000000" w:rsidRPr="00000000">
        <w:rPr>
          <w:b w:val="1"/>
          <w:bCs w:val="1"/>
          <w:rtl w:val="0"/>
        </w:rPr>
        <w:t xml:space="preserve">7.38</w:t>
      </w:r>
      <w:r w:rsidDel="00000000" w:rsidR="00000000" w:rsidRPr="00000000">
        <w:rPr>
          <w:rtl w:val="0"/>
        </w:rPr>
        <w:t xml:space="preserve">, indicating that PepsiCo’s stock experienced greater fluctuations over the period. This suggests that PepsiCo may carry higher short-term price volatility compared to Coca-Cola.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Examining the price range also highlights differences in variability. Coca-Cola’s closing price ranged between </w:t>
      </w:r>
      <w:r w:rsidDel="00000000" w:rsidR="00000000" w:rsidRPr="00000000">
        <w:rPr>
          <w:b w:val="1"/>
          <w:bCs w:val="1"/>
          <w:rtl w:val="0"/>
        </w:rPr>
        <w:t xml:space="preserve">$63.84 and $75.33</w:t>
      </w:r>
      <w:r w:rsidDel="00000000" w:rsidR="00000000" w:rsidRPr="00000000">
        <w:rPr>
          <w:rtl w:val="0"/>
        </w:rPr>
        <w:t xml:space="preserve">, while PepsiCo’s closing price ranged between </w:t>
      </w:r>
      <w:r w:rsidDel="00000000" w:rsidR="00000000" w:rsidRPr="00000000">
        <w:rPr>
          <w:b w:val="1"/>
          <w:bCs w:val="1"/>
          <w:rtl w:val="0"/>
        </w:rPr>
        <w:t xml:space="preserve">$129.07 and $155.20</w:t>
      </w:r>
      <w:r w:rsidDel="00000000" w:rsidR="00000000" w:rsidRPr="00000000">
        <w:rPr>
          <w:rtl w:val="0"/>
        </w:rPr>
        <w:t xml:space="preserve">. The wider range of PepsiCo prices further reflects stronger movements in its stock performance.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Overall, the analysis suggests that while PepsiCo operates at a higher price level and may offer stronger growth potential, Coca-Cola demonstrates lower volatility and greater price stability during the analyzed period. Therefore, investors seeking lower risk and more stable performance may prefer Coca-Cola, whereas investors willing to accept higher volatility for potential growth may consider PepsiCo.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